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B443A4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233A67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 xml:space="preserve">О порядке проведения проверки </w:t>
      </w: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 xml:space="preserve">на предмет эффективности </w:t>
      </w: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>использования средств бюджета,</w:t>
      </w:r>
    </w:p>
    <w:p w:rsidR="00B443A4" w:rsidRP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 xml:space="preserve">направляемых на капитальные </w:t>
      </w:r>
    </w:p>
    <w:p w:rsidR="0016157D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A4">
        <w:rPr>
          <w:rFonts w:ascii="Times New Roman" w:hAnsi="Times New Roman" w:cs="Times New Roman"/>
          <w:sz w:val="28"/>
          <w:szCs w:val="28"/>
        </w:rPr>
        <w:t>вложения</w:t>
      </w:r>
    </w:p>
    <w:p w:rsidR="00B443A4" w:rsidRDefault="00B443A4" w:rsidP="00B4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3A4" w:rsidRDefault="00B443A4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3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25.02.1999г. N 39-ФЗ «Об инвестиционной деятельности в Российской Федерации, осуществляемой в форме капитальных вложений», Федеральным законом от 06.10.2003</w:t>
      </w:r>
      <w:r w:rsidR="00CD2826">
        <w:rPr>
          <w:rFonts w:ascii="Times New Roman" w:hAnsi="Times New Roman" w:cs="Times New Roman"/>
          <w:sz w:val="28"/>
          <w:szCs w:val="28"/>
        </w:rPr>
        <w:t xml:space="preserve"> </w:t>
      </w:r>
      <w:r w:rsidRPr="00B443A4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Ульяновского городского поселения Тосненского района Ленинградской области </w:t>
      </w:r>
    </w:p>
    <w:p w:rsidR="00CD2826" w:rsidRDefault="00CD2826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826" w:rsidRDefault="00CD2826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2826" w:rsidRDefault="00CD2826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A67">
        <w:rPr>
          <w:rFonts w:ascii="Times New Roman" w:hAnsi="Times New Roman" w:cs="Times New Roman"/>
          <w:sz w:val="28"/>
          <w:szCs w:val="28"/>
        </w:rPr>
        <w:t xml:space="preserve">1. </w:t>
      </w:r>
      <w:r w:rsidRPr="00CD2826">
        <w:rPr>
          <w:rFonts w:ascii="Times New Roman" w:hAnsi="Times New Roman" w:cs="Times New Roman"/>
          <w:sz w:val="28"/>
          <w:szCs w:val="28"/>
        </w:rPr>
        <w:t>Утвердить 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1).</w:t>
      </w:r>
    </w:p>
    <w:p w:rsidR="00CD2826" w:rsidRPr="00CD2826" w:rsidRDefault="00CD2826" w:rsidP="00CD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>2. Утвердить Методику оценки эффективности использования средств местного бюджета, направляемых на капитальные вложения (приложение 2);</w:t>
      </w:r>
    </w:p>
    <w:p w:rsidR="00CD2826" w:rsidRPr="00CD2826" w:rsidRDefault="00CD2826" w:rsidP="00CD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>3. Утвердить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(приложение 3).</w:t>
      </w:r>
    </w:p>
    <w:p w:rsidR="00CD2826" w:rsidRPr="00CD2826" w:rsidRDefault="00CD2826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4. Определить </w:t>
      </w:r>
      <w:r w:rsidR="00233A67">
        <w:rPr>
          <w:rFonts w:ascii="Times New Roman" w:hAnsi="Times New Roman" w:cs="Times New Roman"/>
          <w:sz w:val="28"/>
          <w:szCs w:val="28"/>
        </w:rPr>
        <w:t xml:space="preserve">администрацию Ульяновского городского поселения Тосненского района Ленинградской области </w:t>
      </w:r>
      <w:r w:rsidRPr="00CD2826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     </w:t>
      </w:r>
      <w:r w:rsidR="00233A67">
        <w:rPr>
          <w:rFonts w:ascii="Times New Roman" w:hAnsi="Times New Roman" w:cs="Times New Roman"/>
          <w:sz w:val="28"/>
          <w:szCs w:val="28"/>
        </w:rPr>
        <w:tab/>
      </w:r>
      <w:r w:rsidRPr="00CD2826">
        <w:rPr>
          <w:rFonts w:ascii="Times New Roman" w:hAnsi="Times New Roman" w:cs="Times New Roman"/>
          <w:sz w:val="28"/>
          <w:szCs w:val="28"/>
        </w:rPr>
        <w:t xml:space="preserve">5. </w:t>
      </w:r>
      <w:r w:rsidR="00233A6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</w:t>
      </w:r>
      <w:r w:rsidR="00CC01A4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233A67">
        <w:rPr>
          <w:rFonts w:ascii="Times New Roman" w:hAnsi="Times New Roman" w:cs="Times New Roman"/>
          <w:sz w:val="28"/>
          <w:szCs w:val="28"/>
        </w:rPr>
        <w:t xml:space="preserve">ИНФОРМ» и разместить на официальном сайте администрация </w:t>
      </w:r>
      <w:r w:rsidR="00233A67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Ленинградской области в сети Интернет.</w:t>
      </w:r>
    </w:p>
    <w:p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     </w:t>
      </w:r>
      <w:r w:rsidR="00233A67">
        <w:rPr>
          <w:rFonts w:ascii="Times New Roman" w:hAnsi="Times New Roman" w:cs="Times New Roman"/>
          <w:sz w:val="28"/>
          <w:szCs w:val="28"/>
        </w:rPr>
        <w:tab/>
      </w:r>
      <w:r w:rsidRPr="00CD2826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</w:t>
      </w:r>
      <w:r w:rsidR="00233A67">
        <w:rPr>
          <w:rFonts w:ascii="Times New Roman" w:hAnsi="Times New Roman" w:cs="Times New Roman"/>
          <w:sz w:val="28"/>
          <w:szCs w:val="28"/>
        </w:rPr>
        <w:t>публикования</w:t>
      </w:r>
      <w:r w:rsidRPr="00CD2826">
        <w:rPr>
          <w:rFonts w:ascii="Times New Roman" w:hAnsi="Times New Roman" w:cs="Times New Roman"/>
          <w:sz w:val="28"/>
          <w:szCs w:val="28"/>
        </w:rPr>
        <w:t>.</w:t>
      </w:r>
    </w:p>
    <w:p w:rsidR="00CD2826" w:rsidRPr="00CD2826" w:rsidRDefault="00CD2826" w:rsidP="00CD2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26">
        <w:rPr>
          <w:rFonts w:ascii="Times New Roman" w:hAnsi="Times New Roman" w:cs="Times New Roman"/>
          <w:sz w:val="28"/>
          <w:szCs w:val="28"/>
        </w:rPr>
        <w:t xml:space="preserve">     </w:t>
      </w:r>
      <w:r w:rsidR="00233A67">
        <w:rPr>
          <w:rFonts w:ascii="Times New Roman" w:hAnsi="Times New Roman" w:cs="Times New Roman"/>
          <w:sz w:val="28"/>
          <w:szCs w:val="28"/>
        </w:rPr>
        <w:tab/>
      </w:r>
      <w:r w:rsidRPr="00CD282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D28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8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2826" w:rsidRDefault="00CD2826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К.И. Камалетдинов</w:t>
      </w: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B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233A67" w:rsidRDefault="00233A67" w:rsidP="00233A6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233A67" w:rsidRDefault="00233A67" w:rsidP="00233A6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04.12.2018 № 340</w:t>
      </w:r>
    </w:p>
    <w:p w:rsidR="006249E3" w:rsidRDefault="006249E3" w:rsidP="00233A6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7">
        <w:rPr>
          <w:rFonts w:ascii="Times New Roman" w:hAnsi="Times New Roman" w:cs="Times New Roman"/>
          <w:b/>
          <w:sz w:val="28"/>
          <w:szCs w:val="28"/>
        </w:rPr>
        <w:t>проведения проверки инвестиционных проектов</w:t>
      </w: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7">
        <w:rPr>
          <w:rFonts w:ascii="Times New Roman" w:hAnsi="Times New Roman" w:cs="Times New Roman"/>
          <w:b/>
          <w:sz w:val="28"/>
          <w:szCs w:val="28"/>
        </w:rPr>
        <w:t>на предмет эффективности использования средств</w:t>
      </w: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67">
        <w:rPr>
          <w:rFonts w:ascii="Times New Roman" w:hAnsi="Times New Roman" w:cs="Times New Roman"/>
          <w:b/>
          <w:sz w:val="28"/>
          <w:szCs w:val="28"/>
        </w:rPr>
        <w:t xml:space="preserve">местного бюджета, </w:t>
      </w:r>
      <w:proofErr w:type="gramStart"/>
      <w:r w:rsidRPr="00233A67">
        <w:rPr>
          <w:rFonts w:ascii="Times New Roman" w:hAnsi="Times New Roman" w:cs="Times New Roman"/>
          <w:b/>
          <w:sz w:val="28"/>
          <w:szCs w:val="28"/>
        </w:rPr>
        <w:t>направляемых</w:t>
      </w:r>
      <w:proofErr w:type="gramEnd"/>
      <w:r w:rsidRPr="00233A67">
        <w:rPr>
          <w:rFonts w:ascii="Times New Roman" w:hAnsi="Times New Roman" w:cs="Times New Roman"/>
          <w:b/>
          <w:sz w:val="28"/>
          <w:szCs w:val="28"/>
        </w:rPr>
        <w:t xml:space="preserve"> на капитальные вложения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3A67" w:rsidRPr="00233A67" w:rsidRDefault="00233A67" w:rsidP="0023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1.1. Настоящие Правила определяют порядок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</w:t>
      </w: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1.2.</w:t>
      </w:r>
      <w:r w:rsidRPr="00233A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Целью проведения проверки является оценка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инвестиционного проекта установленным настоящими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качественным и количественным критериям и предельному (минимальному)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оценка), в целях реализации указанного проекта.</w:t>
      </w:r>
      <w:proofErr w:type="gramEnd"/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1.3.</w:t>
      </w:r>
      <w:r w:rsidRPr="00233A67">
        <w:rPr>
          <w:rFonts w:ascii="Times New Roman" w:hAnsi="Times New Roman" w:cs="Times New Roman"/>
          <w:sz w:val="28"/>
          <w:szCs w:val="28"/>
        </w:rPr>
        <w:tab/>
        <w:t xml:space="preserve">Проверка проводится для принятия в соответствии с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>, решения о предоставлении средств местного бюджета: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>, по которым: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Pr="00233A67">
        <w:rPr>
          <w:rFonts w:ascii="Times New Roman" w:hAnsi="Times New Roman" w:cs="Times New Roman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A67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</w:t>
      </w:r>
      <w:r w:rsidRPr="00233A6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1.4.</w:t>
      </w:r>
      <w:r w:rsidRPr="00233A67">
        <w:rPr>
          <w:rFonts w:ascii="Times New Roman" w:hAnsi="Times New Roman" w:cs="Times New Roman"/>
          <w:sz w:val="28"/>
          <w:szCs w:val="28"/>
        </w:rPr>
        <w:tab/>
        <w:t>Интегральная оценка проводится в отношении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проектов, указанных в пункте 1.1 настоящих Правил независимо от их сметной стоимости.</w:t>
      </w:r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 xml:space="preserve">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 рублей, а также по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3A67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 xml:space="preserve">,  Главы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 xml:space="preserve">, главы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>независимо от их сметной стоимости.</w:t>
      </w:r>
      <w:proofErr w:type="gramEnd"/>
    </w:p>
    <w:p w:rsidR="00233A67" w:rsidRP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1.6. Проверка осуществляется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</w:t>
      </w:r>
      <w:r>
        <w:rPr>
          <w:rFonts w:ascii="Times New Roman" w:hAnsi="Times New Roman" w:cs="Times New Roman"/>
          <w:sz w:val="28"/>
          <w:szCs w:val="28"/>
        </w:rPr>
        <w:t>администрацией 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инициирующими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полное или частичное финансирование инвестиционного проекта за счет средств местного бюджета (далее – заявители).</w:t>
      </w:r>
    </w:p>
    <w:p w:rsidR="00233A67" w:rsidRDefault="00233A67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1.7. Плата за проведение проверки не взимается.</w:t>
      </w:r>
    </w:p>
    <w:p w:rsidR="007F0BB5" w:rsidRPr="00233A67" w:rsidRDefault="007F0BB5" w:rsidP="00233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 Порядок проведения п</w:t>
      </w:r>
      <w:r w:rsidR="007F0BB5">
        <w:rPr>
          <w:rFonts w:ascii="Times New Roman" w:hAnsi="Times New Roman" w:cs="Times New Roman"/>
          <w:sz w:val="28"/>
          <w:szCs w:val="28"/>
        </w:rPr>
        <w:t>роверки инвестиционных проектов</w:t>
      </w:r>
    </w:p>
    <w:p w:rsidR="007F0BB5" w:rsidRPr="00233A67" w:rsidRDefault="007F0BB5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 xml:space="preserve">Для проведения проверки заявители представляют в </w:t>
      </w:r>
      <w:r w:rsidR="007F0BB5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подписанные руководителем заявителя (уполномоченным им лицом) и заверенные печатью следующие документы: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а) заявление на проведение проверки по форме согласно приложению № 1 к настоящим Правилам;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б) паспорт инвестиционного проекта, заполненного по форме согласно приложению № 2 к настоящим Правилам;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в) обоснование экономической целесообразности, объема и сроков осуществления капитальных вложений в соответствии с пунктом 2.3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е) копию разрешения на строительство;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 xml:space="preserve">з) копию положительного заключения </w:t>
      </w:r>
      <w:r w:rsidR="007F0BB5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о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капитального;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и) документальное подтверждение каждого участника реализации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Pr="00233A67">
        <w:rPr>
          <w:rFonts w:ascii="Times New Roman" w:hAnsi="Times New Roman" w:cs="Times New Roman"/>
          <w:sz w:val="28"/>
          <w:szCs w:val="28"/>
        </w:rPr>
        <w:tab/>
        <w:t>об осуществлении финансирования (софинансирования) этого проекта и намечаемом размере финансирования (софинансирования);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софинансирование создания таких объектов за счет средств бюджета </w:t>
      </w:r>
      <w:r w:rsidR="007F0BB5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>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использования средств местного бюджета.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-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обоснование спроса (потребности) на услуги (продукцию), создаваемые в результате реализации инвестиционного проекта, для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обеспечения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67">
        <w:rPr>
          <w:rFonts w:ascii="Times New Roman" w:hAnsi="Times New Roman" w:cs="Times New Roman"/>
          <w:sz w:val="28"/>
          <w:szCs w:val="28"/>
        </w:rPr>
        <w:t>-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2.4. Задание на проектирование объекта капитального строительства включает: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общие данные (основание для проектирования, наименование объекта капитального строительства и вид строительства);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основные технико-экономические характеристики объекта капитального строительства;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возможность подготовки проектной документации применительно к отдельным этапам строительства;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срок и этапы строительства;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67">
        <w:rPr>
          <w:rFonts w:ascii="Times New Roman" w:hAnsi="Times New Roman" w:cs="Times New Roman"/>
          <w:sz w:val="28"/>
          <w:szCs w:val="28"/>
        </w:rPr>
        <w:t>-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другое);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дополнительные данные (требования к защитным сооружениям, прочие условия).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2.5.</w:t>
      </w:r>
      <w:r w:rsidRPr="00233A67">
        <w:rPr>
          <w:rFonts w:ascii="Times New Roman" w:hAnsi="Times New Roman" w:cs="Times New Roman"/>
          <w:sz w:val="28"/>
          <w:szCs w:val="28"/>
        </w:rPr>
        <w:tab/>
        <w:t>Основаниями для отказа в принятии документов для проведения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проверки являются: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- представление неполного комплекта документов, предусмотренных настоящими Правилами;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установленным требованиям к их содержанию и заполнению;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- несоответствие числового значения интегральной оценки, рассчитанного заявителем, требованиям Методики.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2.6.</w:t>
      </w:r>
      <w:r w:rsidRPr="00233A67">
        <w:rPr>
          <w:rFonts w:ascii="Times New Roman" w:hAnsi="Times New Roman" w:cs="Times New Roman"/>
          <w:sz w:val="28"/>
          <w:szCs w:val="28"/>
        </w:rPr>
        <w:tab/>
        <w:t>При наличии недостатков в представленных документах заявителю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направляется письменное уведомление об отказе в принятии документов и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устанавливается срок для устранения указанных недостатков.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 xml:space="preserve">Проведение проверки начинается после представления заявителем документов, предусмотренных пунктами 2.1 – 2.3 настоящих Правил, в </w:t>
      </w:r>
      <w:r w:rsidR="007F0BB5"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для 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  <w:proofErr w:type="gramEnd"/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2.8.</w:t>
      </w:r>
      <w:r w:rsidRPr="00233A67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осуществляется на основе качественных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2.9.</w:t>
      </w:r>
      <w:r w:rsidRPr="00233A67">
        <w:rPr>
          <w:rFonts w:ascii="Times New Roman" w:hAnsi="Times New Roman" w:cs="Times New Roman"/>
          <w:sz w:val="28"/>
          <w:szCs w:val="28"/>
        </w:rPr>
        <w:tab/>
        <w:t>Инвестиционные проекты, соответствующие качественным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критериям, подлежат дальнейшей проверке на основе количественных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направляемых на капитальные вложения, в соответствии с таблицей 2 «Оценка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соответствия инвестиционного проекта количественным критериям»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приложения № 1 к Методике.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2.10.</w:t>
      </w:r>
      <w:r w:rsidRPr="00233A67">
        <w:rPr>
          <w:rFonts w:ascii="Times New Roman" w:hAnsi="Times New Roman" w:cs="Times New Roman"/>
          <w:sz w:val="28"/>
          <w:szCs w:val="28"/>
        </w:rPr>
        <w:tab/>
        <w:t>Инвестиционные проекты, прошедшие проверку на основе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 xml:space="preserve">качественных и количественных критериев, подлежат дальнейшей проверке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основе интегральной оценки в соответствии с таблицей 3 «Расчет интегральной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оценки эффективности инвестиционного проекта» приложения №1 к Методике.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2.11. Проверка инвестиционного проекта, не соответствующего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2.12. Срок проведения проверки, подготовки и выдачи заключения не должен превышать двух месяцев.</w:t>
      </w:r>
    </w:p>
    <w:p w:rsidR="007F0BB5" w:rsidRPr="00233A67" w:rsidRDefault="007F0BB5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 Выдача заключения об эффект</w:t>
      </w:r>
      <w:r w:rsidR="007F0BB5">
        <w:rPr>
          <w:rFonts w:ascii="Times New Roman" w:hAnsi="Times New Roman" w:cs="Times New Roman"/>
          <w:sz w:val="28"/>
          <w:szCs w:val="28"/>
        </w:rPr>
        <w:t>ивности инвестиционного проекта</w:t>
      </w:r>
    </w:p>
    <w:p w:rsidR="007F0BB5" w:rsidRPr="00233A67" w:rsidRDefault="007F0BB5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3.1. Результатом проверки является заключение 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F0BB5">
        <w:rPr>
          <w:rFonts w:ascii="Times New Roman" w:hAnsi="Times New Roman" w:cs="Times New Roman"/>
          <w:sz w:val="28"/>
          <w:szCs w:val="28"/>
        </w:rPr>
        <w:t>З</w:t>
      </w:r>
      <w:r w:rsidRPr="00233A67">
        <w:rPr>
          <w:rFonts w:ascii="Times New Roman" w:hAnsi="Times New Roman" w:cs="Times New Roman"/>
          <w:sz w:val="28"/>
          <w:szCs w:val="28"/>
        </w:rPr>
        <w:t>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233A67" w:rsidRPr="00233A67" w:rsidRDefault="00233A67" w:rsidP="007F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3.6.</w:t>
      </w:r>
      <w:r w:rsidRPr="00233A67">
        <w:rPr>
          <w:rFonts w:ascii="Times New Roman" w:hAnsi="Times New Roman" w:cs="Times New Roman"/>
          <w:sz w:val="28"/>
          <w:szCs w:val="28"/>
        </w:rPr>
        <w:tab/>
      </w:r>
      <w:r w:rsidR="007F0BB5"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  <w:r w:rsidRPr="00233A67">
        <w:rPr>
          <w:rFonts w:ascii="Times New Roman" w:hAnsi="Times New Roman" w:cs="Times New Roman"/>
          <w:sz w:val="28"/>
          <w:szCs w:val="28"/>
        </w:rPr>
        <w:t xml:space="preserve"> 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7F0BB5" w:rsidP="007F0BB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33A67" w:rsidRPr="00233A6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33A67" w:rsidRPr="00233A67" w:rsidRDefault="00233A67" w:rsidP="007F0B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 Правилам проведения проверки инвестиционных проектов на пред</w:t>
      </w:r>
      <w:r w:rsidR="007F0BB5">
        <w:rPr>
          <w:rFonts w:ascii="Times New Roman" w:hAnsi="Times New Roman" w:cs="Times New Roman"/>
          <w:sz w:val="28"/>
          <w:szCs w:val="28"/>
        </w:rPr>
        <w:t xml:space="preserve">мет эффективности использования </w:t>
      </w:r>
      <w:r w:rsidRPr="00233A67">
        <w:rPr>
          <w:rFonts w:ascii="Times New Roman" w:hAnsi="Times New Roman" w:cs="Times New Roman"/>
          <w:sz w:val="28"/>
          <w:szCs w:val="28"/>
        </w:rPr>
        <w:t>средств</w:t>
      </w:r>
      <w:r w:rsidR="007F0BB5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</w:t>
      </w:r>
    </w:p>
    <w:p w:rsidR="00233A67" w:rsidRPr="00233A67" w:rsidRDefault="00233A67" w:rsidP="007F0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B5" w:rsidRDefault="007F0BB5" w:rsidP="007F0B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Ульяновского городского поселения Тосненского района Ленинградской области</w:t>
      </w:r>
    </w:p>
    <w:p w:rsidR="007F0BB5" w:rsidRDefault="007F0BB5" w:rsidP="007F0B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0BB5" w:rsidRDefault="007F0BB5" w:rsidP="007F0B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ЗАЯВЛЕНИЕ</w:t>
      </w:r>
    </w:p>
    <w:p w:rsidR="00233A67" w:rsidRP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проведение проверки инвестиционного проекта</w:t>
      </w:r>
    </w:p>
    <w:p w:rsidR="00233A67" w:rsidRPr="00233A67" w:rsidRDefault="00233A67" w:rsidP="007F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Прошу провести проверку инвестиционного проекта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(титульное название объекта)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предмет соответствия установленным критериям эффективности.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…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« ____ » ___________ 20 __ г.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Заявитель                 _____________               ______________________________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               (расшифровка подписи)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М.П.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Pr="00233A67" w:rsidRDefault="00ED32F0" w:rsidP="00ED32F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33A6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2F0" w:rsidRPr="00233A67" w:rsidRDefault="00ED32F0" w:rsidP="00ED3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 Правилам проведения проверки инвестиционных проектов на пред</w:t>
      </w:r>
      <w:r>
        <w:rPr>
          <w:rFonts w:ascii="Times New Roman" w:hAnsi="Times New Roman" w:cs="Times New Roman"/>
          <w:sz w:val="28"/>
          <w:szCs w:val="28"/>
        </w:rPr>
        <w:t xml:space="preserve">мет эффективности использования </w:t>
      </w:r>
      <w:r w:rsidRPr="00233A6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</w:t>
      </w:r>
    </w:p>
    <w:p w:rsidR="00ED32F0" w:rsidRPr="00233A67" w:rsidRDefault="00ED32F0" w:rsidP="00ED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Ульяновского городского поселения Тосненского района Ленинградской области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(__________________)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 20__г.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ПАСПОРТ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инвестиционного проекта, представляемого для проведения проверки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 Наименование инвестиционного проекта ______________________________ 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2. Цель инвестиционного проекта _______________________________________. </w:t>
      </w:r>
    </w:p>
    <w:p w:rsidR="00233A67" w:rsidRPr="00233A67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3A67" w:rsidRPr="00233A67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proofErr w:type="gramStart"/>
      <w:r w:rsidR="00233A67" w:rsidRPr="00233A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5. Главный распорядитель средств местного бюджета______________________  _____________________________________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3A67">
        <w:rPr>
          <w:rFonts w:ascii="Times New Roman" w:hAnsi="Times New Roman" w:cs="Times New Roman"/>
          <w:sz w:val="28"/>
          <w:szCs w:val="28"/>
        </w:rPr>
        <w:t>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6.</w:t>
      </w:r>
      <w:r w:rsidRPr="00233A67">
        <w:rPr>
          <w:rFonts w:ascii="Times New Roman" w:hAnsi="Times New Roman" w:cs="Times New Roman"/>
          <w:sz w:val="28"/>
          <w:szCs w:val="28"/>
        </w:rPr>
        <w:tab/>
        <w:t>Сведения о предполагаемом застройщике или заказчике (заказчике-застройщике):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полное и сокращенное наименование юридического лица ____________        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________________ ____________________________________________________________________;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юридический адрес  ____________________________________________;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должность, Ф.И.О. руководителя юридического лица _________________ _____________________________________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3A67">
        <w:rPr>
          <w:rFonts w:ascii="Times New Roman" w:hAnsi="Times New Roman" w:cs="Times New Roman"/>
          <w:sz w:val="28"/>
          <w:szCs w:val="28"/>
        </w:rPr>
        <w:t>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7.</w:t>
      </w:r>
      <w:r w:rsidRPr="00233A67">
        <w:rPr>
          <w:rFonts w:ascii="Times New Roman" w:hAnsi="Times New Roman" w:cs="Times New Roman"/>
          <w:sz w:val="28"/>
          <w:szCs w:val="28"/>
        </w:rPr>
        <w:tab/>
        <w:t>Участники инвестиционного проекта: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3A6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8.</w:t>
      </w:r>
      <w:r w:rsidRPr="00233A67">
        <w:rPr>
          <w:rFonts w:ascii="Times New Roman" w:hAnsi="Times New Roman" w:cs="Times New Roman"/>
          <w:sz w:val="28"/>
          <w:szCs w:val="28"/>
        </w:rPr>
        <w:tab/>
        <w:t xml:space="preserve"> Наличие проектной документации по инвестиционному проекту</w:t>
      </w:r>
    </w:p>
    <w:p w:rsidR="00233A67" w:rsidRPr="00ED32F0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____________________________________________________________________. </w:t>
      </w:r>
      <w:r w:rsidRPr="00ED32F0">
        <w:rPr>
          <w:rFonts w:ascii="Times New Roman" w:hAnsi="Times New Roman" w:cs="Times New Roman"/>
          <w:sz w:val="20"/>
          <w:szCs w:val="20"/>
        </w:rPr>
        <w:t>(ссылка на подтверждающий документ)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9.</w:t>
      </w:r>
      <w:r w:rsidRPr="00233A67">
        <w:rPr>
          <w:rFonts w:ascii="Times New Roman" w:hAnsi="Times New Roman" w:cs="Times New Roman"/>
          <w:sz w:val="28"/>
          <w:szCs w:val="28"/>
        </w:rPr>
        <w:tab/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</w:t>
      </w:r>
      <w:r w:rsidRPr="00233A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32F0">
        <w:rPr>
          <w:rFonts w:ascii="Times New Roman" w:hAnsi="Times New Roman" w:cs="Times New Roman"/>
          <w:sz w:val="20"/>
          <w:szCs w:val="20"/>
        </w:rPr>
        <w:t>(ссылка  на документ, копия заключения прилагается)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10.</w:t>
      </w:r>
      <w:r w:rsidRPr="00233A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лет_________________________________________________, </w:t>
      </w:r>
      <w:proofErr w:type="spellStart"/>
      <w:r w:rsidRPr="00233A67">
        <w:rPr>
          <w:rFonts w:ascii="Times New Roman" w:hAnsi="Times New Roman" w:cs="Times New Roman"/>
          <w:sz w:val="28"/>
          <w:szCs w:val="28"/>
        </w:rPr>
        <w:t>втом</w:t>
      </w:r>
      <w:proofErr w:type="spellEnd"/>
      <w:r w:rsidRPr="00233A67">
        <w:rPr>
          <w:rFonts w:ascii="Times New Roman" w:hAnsi="Times New Roman" w:cs="Times New Roman"/>
          <w:sz w:val="28"/>
          <w:szCs w:val="28"/>
        </w:rPr>
        <w:t xml:space="preserve">  числе  затраты  на  подготовку  проектной  документации  (указываются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 в  ценах  года представления     паспорта     инвестиционного     проекта,     а     также рассчитанные в ценах соответствующих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лет), млн. рублей*: 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11. Технологическая структура капитальных вложений: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Сметная стоимость, включая НДС,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 текущих ценах** /в ценах соответствующих лет (млн. рублей)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 том числе: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строительно-монтажные работы,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из них дорогостоящие материалы, художественные изделия для отделки интерьеров и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фасада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приобретение машин и оборудования, из них дорогостоящие и (или) импортные машины и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оборудование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Прочие затраты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12. Источники и объемы финансирования инвестиционного проекта, </w:t>
      </w:r>
      <w:r w:rsidR="00ED32F0">
        <w:rPr>
          <w:rFonts w:ascii="Times New Roman" w:hAnsi="Times New Roman" w:cs="Times New Roman"/>
          <w:sz w:val="28"/>
          <w:szCs w:val="28"/>
        </w:rPr>
        <w:t>___</w:t>
      </w:r>
      <w:r w:rsidRPr="00233A67">
        <w:rPr>
          <w:rFonts w:ascii="Times New Roman" w:hAnsi="Times New Roman" w:cs="Times New Roman"/>
          <w:sz w:val="28"/>
          <w:szCs w:val="28"/>
        </w:rPr>
        <w:t>млн. рублей: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Год реализации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инвестиционного</w:t>
      </w:r>
      <w:r w:rsidR="00ED32F0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проекта</w:t>
      </w:r>
      <w:r w:rsidR="00ED32F0">
        <w:rPr>
          <w:rFonts w:ascii="Times New Roman" w:hAnsi="Times New Roman" w:cs="Times New Roman"/>
          <w:sz w:val="28"/>
          <w:szCs w:val="28"/>
        </w:rPr>
        <w:t>: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Сметная стоимость инвестиционного проекта </w:t>
      </w:r>
      <w:r w:rsidR="00ED32F0">
        <w:rPr>
          <w:rFonts w:ascii="Times New Roman" w:hAnsi="Times New Roman" w:cs="Times New Roman"/>
          <w:sz w:val="28"/>
          <w:szCs w:val="28"/>
        </w:rPr>
        <w:t>____</w:t>
      </w:r>
      <w:r w:rsidRPr="00233A67">
        <w:rPr>
          <w:rFonts w:ascii="Times New Roman" w:hAnsi="Times New Roman" w:cs="Times New Roman"/>
          <w:sz w:val="28"/>
          <w:szCs w:val="28"/>
        </w:rPr>
        <w:t>(в текущих ценах** / в ценах соответствующих лет)</w:t>
      </w:r>
      <w:r w:rsidRPr="00233A67">
        <w:rPr>
          <w:rFonts w:ascii="Times New Roman" w:hAnsi="Times New Roman" w:cs="Times New Roman"/>
          <w:sz w:val="28"/>
          <w:szCs w:val="28"/>
        </w:rPr>
        <w:tab/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Источник финансирования инвестиционного проекта</w:t>
      </w:r>
      <w:r w:rsidR="00ED32F0">
        <w:rPr>
          <w:rFonts w:ascii="Times New Roman" w:hAnsi="Times New Roman" w:cs="Times New Roman"/>
          <w:sz w:val="28"/>
          <w:szCs w:val="28"/>
        </w:rPr>
        <w:t>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средства областного бюджета (в текущих ценах** / в ценах соответствующих лет)</w:t>
      </w:r>
      <w:r w:rsidRPr="00233A67">
        <w:rPr>
          <w:rFonts w:ascii="Times New Roman" w:hAnsi="Times New Roman" w:cs="Times New Roman"/>
          <w:sz w:val="28"/>
          <w:szCs w:val="28"/>
        </w:rPr>
        <w:tab/>
        <w:t>средства районного бюджета (в текущих ценах** / в ценах соответствующих лет)</w:t>
      </w:r>
      <w:r w:rsidRPr="00233A67">
        <w:rPr>
          <w:rFonts w:ascii="Times New Roman" w:hAnsi="Times New Roman" w:cs="Times New Roman"/>
          <w:sz w:val="28"/>
          <w:szCs w:val="28"/>
        </w:rPr>
        <w:tab/>
        <w:t>средства бюджета сельского поселения (в текущих ценах** / в ценах соответствующих лет)</w:t>
      </w:r>
      <w:r w:rsidRPr="00233A67">
        <w:rPr>
          <w:rFonts w:ascii="Times New Roman" w:hAnsi="Times New Roman" w:cs="Times New Roman"/>
          <w:sz w:val="28"/>
          <w:szCs w:val="28"/>
        </w:rPr>
        <w:tab/>
        <w:t>другие внебюджетные источники финансирования (в текущих ценах** / в ценах соответствующих лет)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2F0">
        <w:rPr>
          <w:rFonts w:ascii="Times New Roman" w:hAnsi="Times New Roman" w:cs="Times New Roman"/>
          <w:sz w:val="20"/>
          <w:szCs w:val="20"/>
        </w:rPr>
        <w:t>*Заполняется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233A67" w:rsidRP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2F0">
        <w:rPr>
          <w:rFonts w:ascii="Times New Roman" w:hAnsi="Times New Roman" w:cs="Times New Roman"/>
          <w:sz w:val="20"/>
          <w:szCs w:val="20"/>
        </w:rPr>
        <w:t>**В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233A67" w:rsidRPr="00ED32F0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Субъект бюджетного планирования _____________________________________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(фамилия, имя, отчество)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 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(должность)                 (подпись)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 ___ » ____________ 20 ____ г.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Pr="00233A67" w:rsidRDefault="00ED32F0" w:rsidP="00ED32F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33A6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2F0" w:rsidRPr="00233A67" w:rsidRDefault="00ED32F0" w:rsidP="00ED3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 Правилам проведения проверки инвестиционных проектов на пред</w:t>
      </w:r>
      <w:r>
        <w:rPr>
          <w:rFonts w:ascii="Times New Roman" w:hAnsi="Times New Roman" w:cs="Times New Roman"/>
          <w:sz w:val="28"/>
          <w:szCs w:val="28"/>
        </w:rPr>
        <w:t xml:space="preserve">мет эффективности использования </w:t>
      </w:r>
      <w:r w:rsidRPr="00233A6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</w:t>
      </w:r>
    </w:p>
    <w:p w:rsidR="00ED32F0" w:rsidRPr="00233A67" w:rsidRDefault="00ED32F0" w:rsidP="00ED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Ульяновского городского поселения Тосненского района Ленинградской области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(__________________)</w:t>
      </w:r>
    </w:p>
    <w:p w:rsidR="00ED32F0" w:rsidRDefault="00ED32F0" w:rsidP="00ED32F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 20__г.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2F0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2F0" w:rsidRDefault="00ED32F0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ЗАКЛЮЧЕНИЕ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 результатах проверки инвестиционного проекта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местного бюджета,</w:t>
      </w:r>
    </w:p>
    <w:p w:rsidR="00233A67" w:rsidRPr="00233A67" w:rsidRDefault="00233A67" w:rsidP="00ED3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3A67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Наименование инвестиционного проекта: 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</w:t>
      </w:r>
      <w:r w:rsidRPr="00233A67">
        <w:rPr>
          <w:rFonts w:ascii="Times New Roman" w:hAnsi="Times New Roman" w:cs="Times New Roman"/>
          <w:sz w:val="28"/>
          <w:szCs w:val="28"/>
        </w:rPr>
        <w:t>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Наименование организации заявителя: _____________</w:t>
      </w:r>
      <w:r w:rsidR="00ED32F0">
        <w:rPr>
          <w:rFonts w:ascii="Times New Roman" w:hAnsi="Times New Roman" w:cs="Times New Roman"/>
          <w:sz w:val="28"/>
          <w:szCs w:val="28"/>
        </w:rPr>
        <w:t>_____________________</w:t>
      </w:r>
      <w:r w:rsidRPr="00233A67">
        <w:rPr>
          <w:rFonts w:ascii="Times New Roman" w:hAnsi="Times New Roman" w:cs="Times New Roman"/>
          <w:sz w:val="28"/>
          <w:szCs w:val="28"/>
        </w:rPr>
        <w:t>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заявителем: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регистрационный номер _____________________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дата ____________________;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подписавшего заявление 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проекта: ______________________________.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____________________________________________________________________.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основе качественных критериев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, %: ____________________________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на основе количественных критериев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, %: __________________________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значение интегральной оценки эффективности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, %: __________________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Специалист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проводивший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экспертизу) _____________     ____________    _______________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    (подпись)                  (Ф.И.О.)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 ____ » ___________ 20 ___ г.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М.П.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E3" w:rsidRDefault="006249E3" w:rsidP="006249E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249E3" w:rsidRDefault="006249E3" w:rsidP="006249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249E3" w:rsidRDefault="006249E3" w:rsidP="006249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04.12.2018 № 340</w:t>
      </w:r>
    </w:p>
    <w:p w:rsidR="006249E3" w:rsidRDefault="006249E3" w:rsidP="006249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249E3" w:rsidRDefault="006249E3" w:rsidP="0062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МЕТОДИКА</w:t>
      </w:r>
    </w:p>
    <w:p w:rsidR="00233A67" w:rsidRP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</w:t>
      </w:r>
    </w:p>
    <w:p w:rsidR="00233A67" w:rsidRP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3A67" w:rsidRPr="00233A67" w:rsidRDefault="00233A67" w:rsidP="0062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1.1.</w:t>
      </w:r>
      <w:r w:rsidRPr="00233A67">
        <w:rPr>
          <w:rFonts w:ascii="Times New Roman" w:hAnsi="Times New Roman" w:cs="Times New Roman"/>
          <w:sz w:val="28"/>
          <w:szCs w:val="28"/>
        </w:rPr>
        <w:tab/>
        <w:t>Методика оценки эффективности использования средств местного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бюджета, направляемых на строительство, реконструкцию и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техническое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перевооружение объектов капитального строительства (далее - Методика), предназначена для оценки эффективности использования средств местного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бюджета, направляемых на капитальные вложения по инвестиционным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проектам, финансирование которых планируется осуществлять полностью или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частично за счет средств местного бюджета.</w:t>
      </w:r>
    </w:p>
    <w:p w:rsidR="00233A67" w:rsidRPr="00233A67" w:rsidRDefault="00233A67" w:rsidP="0062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1.2.</w:t>
      </w:r>
      <w:r w:rsidRPr="00233A67">
        <w:rPr>
          <w:rFonts w:ascii="Times New Roman" w:hAnsi="Times New Roman" w:cs="Times New Roman"/>
          <w:sz w:val="28"/>
          <w:szCs w:val="28"/>
        </w:rPr>
        <w:tab/>
        <w:t>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233A67" w:rsidRPr="00233A67" w:rsidRDefault="00233A67" w:rsidP="0062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1.3.</w:t>
      </w:r>
      <w:r w:rsidRPr="00233A67">
        <w:rPr>
          <w:rFonts w:ascii="Times New Roman" w:hAnsi="Times New Roman" w:cs="Times New Roman"/>
          <w:sz w:val="28"/>
          <w:szCs w:val="28"/>
        </w:rPr>
        <w:tab/>
        <w:t>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Default="00233A67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 Состав, порядок определения баллов оценки качественных критериев и оценки эффективности на основе качественных критериев</w:t>
      </w:r>
    </w:p>
    <w:p w:rsidR="006249E3" w:rsidRPr="00233A67" w:rsidRDefault="006249E3" w:rsidP="00624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62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233A67" w:rsidRPr="00233A67" w:rsidRDefault="006249E3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="00233A67" w:rsidRPr="00233A67">
        <w:rPr>
          <w:rFonts w:ascii="Times New Roman" w:hAnsi="Times New Roman" w:cs="Times New Roman"/>
          <w:sz w:val="28"/>
          <w:szCs w:val="28"/>
        </w:rPr>
        <w:t>наличие четко сформулированной цели инвестиционного проекта;</w:t>
      </w:r>
    </w:p>
    <w:p w:rsidR="00233A67" w:rsidRPr="00233A67" w:rsidRDefault="00233A67" w:rsidP="007942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67">
        <w:rPr>
          <w:rFonts w:ascii="Times New Roman" w:hAnsi="Times New Roman" w:cs="Times New Roman"/>
          <w:sz w:val="28"/>
          <w:szCs w:val="28"/>
        </w:rPr>
        <w:t>соответствие цели инвестиционного проекта приоритетам и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 xml:space="preserve">целям, определенным в стратегии и программе социально-экономического развития </w:t>
      </w:r>
      <w:r w:rsidR="006249E3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233A67">
        <w:rPr>
          <w:rFonts w:ascii="Times New Roman" w:hAnsi="Times New Roman" w:cs="Times New Roman"/>
          <w:sz w:val="28"/>
          <w:szCs w:val="28"/>
        </w:rPr>
        <w:t>, долгосрочных и ведомственных муниципальных целевых программах;</w:t>
      </w:r>
      <w:r w:rsidR="006249E3">
        <w:rPr>
          <w:rFonts w:ascii="Times New Roman" w:hAnsi="Times New Roman" w:cs="Times New Roman"/>
          <w:sz w:val="28"/>
          <w:szCs w:val="28"/>
        </w:rPr>
        <w:t xml:space="preserve"> </w:t>
      </w:r>
      <w:r w:rsidR="007942BA">
        <w:rPr>
          <w:rFonts w:ascii="Times New Roman" w:hAnsi="Times New Roman" w:cs="Times New Roman"/>
          <w:sz w:val="28"/>
          <w:szCs w:val="28"/>
        </w:rPr>
        <w:t>- н</w:t>
      </w:r>
      <w:r w:rsidRPr="00233A67">
        <w:rPr>
          <w:rFonts w:ascii="Times New Roman" w:hAnsi="Times New Roman" w:cs="Times New Roman"/>
          <w:sz w:val="28"/>
          <w:szCs w:val="28"/>
        </w:rPr>
        <w:t xml:space="preserve">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</w:t>
      </w:r>
      <w:r w:rsidRPr="00233A67">
        <w:rPr>
          <w:rFonts w:ascii="Times New Roman" w:hAnsi="Times New Roman" w:cs="Times New Roman"/>
          <w:sz w:val="28"/>
          <w:szCs w:val="28"/>
        </w:rPr>
        <w:lastRenderedPageBreak/>
        <w:t>государственными и муниципальными органами полномочий, отнесенных к предмету их ведения;</w:t>
      </w:r>
      <w:proofErr w:type="gramEnd"/>
    </w:p>
    <w:p w:rsidR="00233A67" w:rsidRPr="00233A67" w:rsidRDefault="006249E3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 xml:space="preserve">наличие долгосрочных муниципальных целевых программ, реализуемых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233A67" w:rsidRPr="00233A67">
        <w:rPr>
          <w:rFonts w:ascii="Times New Roman" w:hAnsi="Times New Roman" w:cs="Times New Roman"/>
          <w:sz w:val="28"/>
          <w:szCs w:val="28"/>
        </w:rPr>
        <w:t>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2.2.</w:t>
      </w:r>
      <w:r w:rsidRPr="00233A67">
        <w:rPr>
          <w:rFonts w:ascii="Times New Roman" w:hAnsi="Times New Roman" w:cs="Times New Roman"/>
          <w:sz w:val="28"/>
          <w:szCs w:val="28"/>
        </w:rPr>
        <w:tab/>
        <w:t>Оценка эффективности на основе качественных критериев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- балл оценки i-ого качественного критерия;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- общее число качественных критериев;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- число     критериев, не     применимых     к     проверяемому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инвестиционному проекту.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2.3. </w:t>
      </w:r>
      <w:r w:rsidRPr="00233A67">
        <w:rPr>
          <w:rFonts w:ascii="Times New Roman" w:hAnsi="Times New Roman" w:cs="Times New Roman"/>
          <w:sz w:val="28"/>
          <w:szCs w:val="28"/>
        </w:rPr>
        <w:tab/>
        <w:t xml:space="preserve">Возможные значения баллов оценки по каждому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качественных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критериев приведены в графе «Допустимые баллы оценки» таблицы 1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приложения № 1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Требования к определению баллов оценки по каждому из качественных критериев установлены пунктами 1 - 7 таблицы 1 приложения № 1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Методике. Заявители вправе определить иные показатели с учетом специфики инвестиционного проекта.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67">
        <w:rPr>
          <w:rFonts w:ascii="Times New Roman" w:hAnsi="Times New Roman" w:cs="Times New Roman"/>
          <w:sz w:val="28"/>
          <w:szCs w:val="28"/>
        </w:rPr>
        <w:t>Для проведения проверки на соответствие критерию «Целесообразность использования   при   реализации   инвестиционного   проекта   дорогостоящих строительных материалов, художественных изделий для отделки интерьеров и фасада, машин и оборудования» органы местного самоуправления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или муниципальные бюджетные учреждения руководствуются сведениями по проектам-аналогам, реализуемым (или реализованным) на территории района,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края или в Российской Федерации, а также в иностранном государстве в случае отсутствия проектов-аналогов, реализуемых на территории Российской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</w:t>
      </w:r>
      <w:r w:rsidRPr="00233A67">
        <w:rPr>
          <w:rFonts w:ascii="Times New Roman" w:hAnsi="Times New Roman" w:cs="Times New Roman"/>
          <w:sz w:val="28"/>
          <w:szCs w:val="28"/>
        </w:rPr>
        <w:lastRenderedPageBreak/>
        <w:t>функциональному назначению и (или) по конструктивным и объемно-планировочным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приложении № 4 к Методике.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 Состав, порядок определения баллов оценки,</w:t>
      </w: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весовых коэффициентов количественных критериев</w:t>
      </w:r>
    </w:p>
    <w:p w:rsid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 оценки эффективности на основе количественных критериев</w:t>
      </w:r>
    </w:p>
    <w:p w:rsidR="007942BA" w:rsidRPr="00233A67" w:rsidRDefault="007942BA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3.1.</w:t>
      </w:r>
      <w:r w:rsidRPr="00233A67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осуществляется на основе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количественных критериев: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A67" w:rsidRPr="00233A67">
        <w:rPr>
          <w:rFonts w:ascii="Times New Roman" w:hAnsi="Times New Roman" w:cs="Times New Roman"/>
          <w:sz w:val="28"/>
          <w:szCs w:val="28"/>
        </w:rPr>
        <w:t>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A67" w:rsidRPr="00233A67">
        <w:rPr>
          <w:rFonts w:ascii="Times New Roman" w:hAnsi="Times New Roman" w:cs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3.2.</w:t>
      </w:r>
      <w:r w:rsidRPr="00233A67">
        <w:rPr>
          <w:rFonts w:ascii="Times New Roman" w:hAnsi="Times New Roman" w:cs="Times New Roman"/>
          <w:sz w:val="28"/>
          <w:szCs w:val="28"/>
        </w:rPr>
        <w:tab/>
        <w:t>Оценка эффективности на основе количественных критериев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100E0">
            <wp:extent cx="10572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3A67" w:rsidRPr="00233A67">
        <w:rPr>
          <w:rFonts w:ascii="Times New Roman" w:hAnsi="Times New Roman" w:cs="Times New Roman"/>
          <w:sz w:val="28"/>
          <w:szCs w:val="28"/>
        </w:rPr>
        <w:t xml:space="preserve">, где            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Pr="007942BA" w:rsidRDefault="00233A67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 </w:t>
      </w:r>
      <w:r w:rsidR="007942BA" w:rsidRPr="007942BA">
        <w:rPr>
          <w:rFonts w:ascii="Times New Roman" w:hAnsi="Times New Roman" w:cs="Times New Roman"/>
          <w:sz w:val="28"/>
          <w:szCs w:val="28"/>
          <w:lang w:bidi="en-US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18.75pt" o:ole="" filled="t">
            <v:fill color2="black"/>
            <v:imagedata r:id="rId8" o:title=""/>
          </v:shape>
          <o:OLEObject Type="Embed" ProgID="Equation.3" ShapeID="_x0000_i1025" DrawAspect="Content" ObjectID="_1605525330" r:id="rId9"/>
        </w:object>
      </w:r>
      <w:r w:rsidR="007942BA" w:rsidRPr="007942BA">
        <w:rPr>
          <w:rFonts w:ascii="Times New Roman" w:hAnsi="Times New Roman" w:cs="Times New Roman"/>
          <w:sz w:val="28"/>
          <w:szCs w:val="28"/>
        </w:rPr>
        <w:t xml:space="preserve"> - балл оценки </w:t>
      </w:r>
      <w:r w:rsidR="007942BA" w:rsidRPr="007942BA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="007942BA" w:rsidRPr="007942BA">
        <w:rPr>
          <w:rFonts w:ascii="Times New Roman" w:hAnsi="Times New Roman" w:cs="Times New Roman"/>
          <w:sz w:val="28"/>
          <w:szCs w:val="28"/>
        </w:rPr>
        <w:t>-ого количественного критерия;</w:t>
      </w: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279" w:dyaOrig="360">
          <v:shape id="_x0000_i1026" type="#_x0000_t75" style="width:14.2pt;height:18.75pt" o:ole="" filled="t">
            <v:fill color2="black"/>
            <v:imagedata r:id="rId10" o:title=""/>
          </v:shape>
          <o:OLEObject Type="Embed" ProgID="Equation.3" ShapeID="_x0000_i1026" DrawAspect="Content" ObjectID="_1605525331" r:id="rId11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весовой коэффициент </w:t>
      </w:r>
      <w:r w:rsidRPr="007942BA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7942BA">
        <w:rPr>
          <w:rFonts w:ascii="Times New Roman" w:hAnsi="Times New Roman" w:cs="Times New Roman"/>
          <w:sz w:val="28"/>
          <w:szCs w:val="28"/>
        </w:rPr>
        <w:t>-ого количественного критерия, в процентах;</w:t>
      </w: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320" w:dyaOrig="340">
          <v:shape id="_x0000_i1027" type="#_x0000_t75" style="width:15.7pt;height:17.25pt" o:ole="" filled="t">
            <v:fill color2="black"/>
            <v:imagedata r:id="rId12" o:title=""/>
          </v:shape>
          <o:OLEObject Type="Embed" ProgID="Equation.3" ShapeID="_x0000_i1027" DrawAspect="Content" ObjectID="_1605525332" r:id="rId13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общее число количественных критериев.</w:t>
      </w:r>
    </w:p>
    <w:p w:rsidR="00233A67" w:rsidRPr="00233A67" w:rsidRDefault="00233A67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3.3. 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Значения весовых коэффициентов количественных критериев в зависимости от типа инвестиционного проекта приведены в приложении № 2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233A67" w:rsidRPr="00233A67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1260" w:dyaOrig="680">
          <v:shape id="_x0000_i1028" type="#_x0000_t75" style="width:110.55pt;height:40.55pt" o:ole="" filled="t">
            <v:fill color2="black"/>
            <v:imagedata r:id="rId14" o:title=""/>
          </v:shape>
          <o:OLEObject Type="Embed" ProgID="Equation.3" ShapeID="_x0000_i1028" DrawAspect="Content" ObjectID="_1605525333" r:id="rId15"/>
        </w:object>
      </w:r>
      <w:r w:rsidR="00233A67" w:rsidRPr="00233A67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Pr="007942BA" w:rsidRDefault="007942BA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240" w:dyaOrig="360">
          <v:shape id="_x0000_i1029" type="#_x0000_t75" style="width:12.15pt;height:18.75pt" o:ole="" filled="t">
            <v:fill color2="black"/>
            <v:imagedata r:id="rId16" o:title=""/>
          </v:shape>
          <o:OLEObject Type="Embed" ProgID="Equation.3" ShapeID="_x0000_i1029" DrawAspect="Content" ObjectID="_1605525334" r:id="rId17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уровень обеспеченности </w:t>
      </w:r>
      <w:r w:rsidRPr="007942BA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7942BA">
        <w:rPr>
          <w:rFonts w:ascii="Times New Roman" w:hAnsi="Times New Roman" w:cs="Times New Roman"/>
          <w:sz w:val="28"/>
          <w:szCs w:val="28"/>
        </w:rPr>
        <w:t>-м видом инженерной и транспортной инфраструктуры (</w:t>
      </w:r>
      <w:proofErr w:type="spellStart"/>
      <w:r w:rsidRPr="007942BA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7942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942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42BA">
        <w:rPr>
          <w:rFonts w:ascii="Times New Roman" w:hAnsi="Times New Roman" w:cs="Times New Roman"/>
          <w:sz w:val="28"/>
          <w:szCs w:val="28"/>
        </w:rPr>
        <w:t>, водо-, теплоснабжение, телефонная связь, объекты транспортной инфраструктуры), в процентах;</w:t>
      </w:r>
    </w:p>
    <w:p w:rsidR="007942BA" w:rsidRPr="007942BA" w:rsidRDefault="007942BA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i/>
          <w:sz w:val="28"/>
          <w:szCs w:val="28"/>
          <w:lang w:bidi="en-US"/>
        </w:rPr>
        <w:t>n</w:t>
      </w:r>
      <w:r w:rsidRPr="007942BA">
        <w:rPr>
          <w:rFonts w:ascii="Times New Roman" w:hAnsi="Times New Roman" w:cs="Times New Roman"/>
          <w:sz w:val="28"/>
          <w:szCs w:val="28"/>
        </w:rPr>
        <w:t xml:space="preserve"> - количество видов необходимой инженерной и транспортной инфраструктуры.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с аналогичными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проектами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4. Расчет интегральной оценки эффективности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4.1. Интегральная оценка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 xml:space="preserve"> (</w:t>
      </w:r>
      <w:r w:rsidR="007942BA" w:rsidRPr="007942BA">
        <w:rPr>
          <w:rFonts w:ascii="Times New Roman" w:hAnsi="Times New Roman" w:cs="Times New Roman"/>
          <w:sz w:val="28"/>
          <w:szCs w:val="28"/>
          <w:lang w:bidi="en-US"/>
        </w:rPr>
        <w:object w:dxaOrig="540" w:dyaOrig="340">
          <v:shape id="_x0000_i1030" type="#_x0000_t75" style="width:26.85pt;height:17.25pt" o:ole="" filled="t">
            <v:fill color2="black"/>
            <v:imagedata r:id="rId18" o:title=""/>
          </v:shape>
          <o:OLEObject Type="Embed" ProgID="Equation.3" ShapeID="_x0000_i1030" DrawAspect="Content" ObjectID="_1605525335" r:id="rId19"/>
        </w:object>
      </w:r>
      <w:r w:rsidRPr="00233A6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>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 xml:space="preserve"> </w:t>
      </w:r>
      <w:r w:rsidR="007942BA" w:rsidRPr="007942BA">
        <w:rPr>
          <w:rFonts w:ascii="Times New Roman" w:hAnsi="Times New Roman" w:cs="Times New Roman"/>
          <w:sz w:val="28"/>
          <w:szCs w:val="28"/>
          <w:lang w:bidi="en-US"/>
        </w:rPr>
        <w:object w:dxaOrig="2439" w:dyaOrig="340">
          <v:shape id="_x0000_i1031" type="#_x0000_t75" style="width:155.15pt;height:19.75pt" o:ole="" filled="t">
            <v:fill color2="black"/>
            <v:imagedata r:id="rId20" o:title=""/>
          </v:shape>
          <o:OLEObject Type="Embed" ProgID="Equation.3" ShapeID="_x0000_i1031" DrawAspect="Content" ObjectID="_1605525336" r:id="rId21"/>
        </w:object>
      </w:r>
      <w:r w:rsidRPr="00233A67">
        <w:rPr>
          <w:rFonts w:ascii="Times New Roman" w:hAnsi="Times New Roman" w:cs="Times New Roman"/>
          <w:sz w:val="28"/>
          <w:szCs w:val="28"/>
        </w:rPr>
        <w:t>, где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300" w:dyaOrig="340">
          <v:shape id="_x0000_i1032" type="#_x0000_t75" style="width:14.7pt;height:17.25pt" o:ole="" filled="t">
            <v:fill color2="black"/>
            <v:imagedata r:id="rId22" o:title=""/>
          </v:shape>
          <o:OLEObject Type="Embed" ProgID="Equation.3" ShapeID="_x0000_i1032" DrawAspect="Content" ObjectID="_1605525337" r:id="rId23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  <w:lang w:bidi="en-US"/>
        </w:rPr>
        <w:object w:dxaOrig="320" w:dyaOrig="340">
          <v:shape id="_x0000_i1033" type="#_x0000_t75" style="width:15.7pt;height:17.25pt" o:ole="" filled="t">
            <v:fill color2="black"/>
            <v:imagedata r:id="rId24" o:title=""/>
          </v:shape>
          <o:OLEObject Type="Embed" ProgID="Equation.3" ShapeID="_x0000_i1033" DrawAspect="Content" ObjectID="_1605525338" r:id="rId25"/>
        </w:object>
      </w:r>
      <w:r w:rsidRPr="007942BA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количественных критериев;</w:t>
      </w:r>
    </w:p>
    <w:p w:rsidR="007942BA" w:rsidRPr="007942BA" w:rsidRDefault="007942BA" w:rsidP="007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BA">
        <w:rPr>
          <w:rFonts w:ascii="Times New Roman" w:hAnsi="Times New Roman" w:cs="Times New Roman"/>
          <w:sz w:val="28"/>
          <w:szCs w:val="28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233A67" w:rsidRPr="00233A67" w:rsidRDefault="00233A67" w:rsidP="0079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 xml:space="preserve">Соответствие или превышение числового значения интегральной </w:t>
      </w:r>
      <w:proofErr w:type="gramStart"/>
      <w:r w:rsidRPr="00233A67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233A67">
        <w:rPr>
          <w:rFonts w:ascii="Times New Roman" w:hAnsi="Times New Roman" w:cs="Times New Roman"/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Default="007942BA" w:rsidP="007942B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2BA" w:rsidRDefault="007942BA" w:rsidP="007942B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Default="007F19AB" w:rsidP="007942B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  <w:sectPr w:rsidR="007F19AB" w:rsidSect="00946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3A67" w:rsidRPr="00233A67" w:rsidRDefault="00233A67" w:rsidP="007F19AB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3A67" w:rsidRPr="00233A67" w:rsidRDefault="00233A67" w:rsidP="007F19AB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к Методике</w:t>
      </w:r>
      <w:r w:rsidR="007942BA">
        <w:rPr>
          <w:rFonts w:ascii="Times New Roman" w:hAnsi="Times New Roman" w:cs="Times New Roman"/>
          <w:sz w:val="28"/>
          <w:szCs w:val="28"/>
        </w:rPr>
        <w:t xml:space="preserve"> </w:t>
      </w:r>
      <w:r w:rsidRPr="00233A67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7942BA">
        <w:rPr>
          <w:rFonts w:ascii="Times New Roman" w:hAnsi="Times New Roman" w:cs="Times New Roman"/>
          <w:sz w:val="28"/>
          <w:szCs w:val="28"/>
        </w:rPr>
        <w:t xml:space="preserve">  </w:t>
      </w:r>
      <w:r w:rsidRPr="00233A67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 направляемых на капитальные вложения</w:t>
      </w: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РАСЧЕТ</w:t>
      </w:r>
    </w:p>
    <w:p w:rsidR="00233A67" w:rsidRPr="00233A67" w:rsidRDefault="00233A67" w:rsidP="0079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интегральной оценки эффективности инвестиционного проекта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7942B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F19A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33A67" w:rsidRPr="007942BA" w:rsidRDefault="00233A67" w:rsidP="007F19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942BA">
        <w:rPr>
          <w:rFonts w:ascii="Times New Roman" w:hAnsi="Times New Roman" w:cs="Times New Roman"/>
          <w:sz w:val="20"/>
          <w:szCs w:val="20"/>
        </w:rPr>
        <w:t>(наименование и тип проекта (инфраструктурный, инновационный и другое)</w:t>
      </w:r>
      <w:proofErr w:type="gramEnd"/>
    </w:p>
    <w:p w:rsidR="00233A67" w:rsidRPr="007F19AB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AB">
        <w:rPr>
          <w:rFonts w:ascii="Times New Roman" w:hAnsi="Times New Roman" w:cs="Times New Roman"/>
          <w:sz w:val="28"/>
          <w:szCs w:val="28"/>
        </w:rPr>
        <w:t xml:space="preserve">Форма реализации инвестиционного проекта (новое строительство, реконструкция или техническое перевооружение действующего производства) </w:t>
      </w:r>
      <w:r w:rsidR="007F19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7942BA" w:rsidRPr="007F19AB" w:rsidRDefault="007942BA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</w:t>
      </w:r>
      <w:r w:rsidR="007F19AB">
        <w:rPr>
          <w:rFonts w:ascii="Times New Roman" w:hAnsi="Times New Roman" w:cs="Times New Roman"/>
          <w:sz w:val="28"/>
          <w:szCs w:val="28"/>
        </w:rPr>
        <w:t>______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606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>Таблица 1. Оценка соответствия инвестиционного проекта качественным критериям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577"/>
        <w:gridCol w:w="1559"/>
        <w:gridCol w:w="1134"/>
        <w:gridCol w:w="4746"/>
        <w:gridCol w:w="3710"/>
      </w:tblGrid>
      <w:tr w:rsidR="007F19AB" w:rsidRPr="007F19AB" w:rsidTr="007F19AB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06841" w:rsidRDefault="00606841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06841" w:rsidRDefault="00606841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Допустимые баллы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 оценки</w:t>
            </w:r>
            <w:proofErr w:type="gramStart"/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7F19AB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en-US" w:bidi="en-US"/>
              </w:rPr>
              <w:object w:dxaOrig="300" w:dyaOrig="360">
                <v:shape id="_x0000_i1034" type="#_x0000_t75" style="width:14.7pt;height:18.75pt" o:ole="" filled="t">
                  <v:fill color2="black"/>
                  <v:imagedata r:id="rId26" o:title=""/>
                </v:shape>
                <o:OLEObject Type="Embed" ProgID="Equation.3" ShapeID="_x0000_i1034" DrawAspect="Content" ObjectID="_1605525339" r:id="rId27"/>
              </w:object>
            </w:r>
            <w:r w:rsidRPr="007F19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>) (</w:t>
            </w:r>
            <w:proofErr w:type="gramEnd"/>
            <w:r w:rsidRPr="007F19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>или «критерий не применим»)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606841" w:rsidRDefault="00606841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Требования к документальным подтверждениям</w:t>
            </w:r>
          </w:p>
        </w:tc>
      </w:tr>
      <w:tr w:rsidR="007F19AB" w:rsidRPr="007F19AB" w:rsidTr="007F19AB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Наличие четко сформулированной цели инвестиционного проекта с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определением количественного показателя (показателей) результатов его осуществления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</w:p>
          <w:p w:rsidR="007F19AB" w:rsidRPr="007F19AB" w:rsidRDefault="007F19AB" w:rsidP="007F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балл, равный 1, присваивается инвестиционному проекту, если в паспорте инвестиционного проекта и обосновании экономической целесообразности, объема и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Рекомендуемые показатели приведены в приложении № 3 к Методике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цель и задачи инвестиционного проекта, количественные показатели результатов реализации инвестиционного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Ульяновского городского поселения Тосненского района Ленинградской области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долгосрочных районных и ведомственных целевых программ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приводятся наименование и реквизиты соответствующих нормативно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Ульяновского городского поселения Тосненского района Ленинградской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proofErr w:type="gramEnd"/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приоритет и цель, которым соответствует цель реализации инвестиционного проекта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Необходимость строительства (реконструкции и технического перевооружения)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обоснование необходимости привлечения средств местного бюджета для реализации инвестиционного проекта и (или) подготовки проектной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7F19AB" w:rsidRPr="007F19AB" w:rsidRDefault="007F19AB" w:rsidP="007F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балл, равный 1, присваивается в случае, если в рамках проекта предполагается: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производство замещающей продукции (работ, услуг) отсутствует;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обоснование спроса (потребности) на продукцию (услуги),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Целесообразность использования при реализации инвестиционного проекта дорогостоящих строительных материалов,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художественных изделий для отделки интерьеров и фасада, машин и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606841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                              0                           «</w:t>
            </w:r>
            <w:r w:rsidR="006068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 не применим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заявителем обоснована невозможность достижения цели и результатов реализации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6.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606841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                             0                           «</w:t>
            </w:r>
            <w:r w:rsidR="006068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 не применим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2) в случае, если проведение государственной экспертизы </w: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проектной документации не требуется: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7.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position w:val="-7"/>
                <w:sz w:val="24"/>
                <w:szCs w:val="24"/>
                <w:lang w:val="en-US" w:bidi="en-US"/>
              </w:rPr>
              <w:object w:dxaOrig="320" w:dyaOrig="340">
                <v:shape id="_x0000_i1035" type="#_x0000_t75" style="width:15.7pt;height:17.25pt" o:ole="" filled="t">
                  <v:fill color2="black"/>
                  <v:imagedata r:id="rId12" o:title=""/>
                </v:shape>
                <o:OLEObject Type="Embed" ProgID="Equation.3" ShapeID="_x0000_i1035" DrawAspect="Content" ObjectID="_1605525340" r:id="rId28"/>
              </w:object>
            </w:r>
            <w:r w:rsidRPr="007F19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=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position w:val="-7"/>
                <w:sz w:val="24"/>
                <w:szCs w:val="24"/>
                <w:lang w:val="en-US" w:bidi="en-US"/>
              </w:rPr>
              <w:object w:dxaOrig="540" w:dyaOrig="340">
                <v:shape id="_x0000_i1036" type="#_x0000_t75" style="width:26.85pt;height:17.25pt" o:ole="" filled="t">
                  <v:fill color2="black"/>
                  <v:imagedata r:id="rId29" o:title=""/>
                </v:shape>
                <o:OLEObject Type="Embed" ProgID="Equation.3" ShapeID="_x0000_i1036" DrawAspect="Content" ObjectID="_1605525341" r:id="rId30"/>
              </w:object>
            </w:r>
            <w:r w:rsidRPr="007F19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=</w:t>
            </w:r>
          </w:p>
        </w:tc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position w:val="-31"/>
                <w:sz w:val="24"/>
                <w:szCs w:val="24"/>
                <w:lang w:val="en-US" w:bidi="en-US"/>
              </w:rPr>
              <w:object w:dxaOrig="600" w:dyaOrig="700">
                <v:shape id="_x0000_i1037" type="#_x0000_t75" style="width:37pt;height:41.6pt" o:ole="" filled="t">
                  <v:fill color2="black"/>
                  <v:imagedata r:id="rId31" o:title=""/>
                </v:shape>
                <o:OLEObject Type="Embed" ProgID="Equation.3" ShapeID="_x0000_i1037" DrawAspect="Content" ObjectID="_1605525342" r:id="rId32"/>
              </w:object>
            </w: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=</w:t>
            </w:r>
          </w:p>
        </w:tc>
      </w:tr>
      <w:tr w:rsidR="007F19AB" w:rsidRPr="007F19AB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8.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  <w:r w:rsidRPr="007F19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7F19AB">
              <w:rPr>
                <w:rFonts w:ascii="Times New Roman" w:eastAsia="Times New Roman" w:hAnsi="Times New Roman" w:cs="Times New Roman"/>
                <w:position w:val="-7"/>
                <w:sz w:val="24"/>
                <w:szCs w:val="24"/>
                <w:lang w:val="en-US" w:bidi="en-US"/>
              </w:rPr>
              <w:object w:dxaOrig="300" w:dyaOrig="340">
                <v:shape id="_x0000_i1038" type="#_x0000_t75" style="width:14.7pt;height:17.25pt" o:ole="" filled="t">
                  <v:fill color2="black"/>
                  <v:imagedata r:id="rId22" o:title=""/>
                </v:shape>
                <o:OLEObject Type="Embed" ProgID="Equation.3" ShapeID="_x0000_i1038" DrawAspect="Content" ObjectID="_1605525343" r:id="rId33"/>
              </w:object>
            </w: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</w:p>
          <w:p w:rsidR="007F19AB" w:rsidRPr="007F19AB" w:rsidRDefault="007F19AB" w:rsidP="007F19AB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</w:p>
        </w:tc>
        <w:tc>
          <w:tcPr>
            <w:tcW w:w="1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7F19AB" w:rsidRDefault="007F19AB" w:rsidP="007F19AB">
            <w:pPr>
              <w:tabs>
                <w:tab w:val="left" w:pos="421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F19AB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en-US" w:bidi="en-US"/>
              </w:rPr>
              <w:object w:dxaOrig="3000" w:dyaOrig="700">
                <v:shape id="_x0000_i1039" type="#_x0000_t75" style="width:190.15pt;height:42.1pt" o:ole="" filled="t">
                  <v:fill color2="black"/>
                  <v:imagedata r:id="rId34" o:title=""/>
                </v:shape>
                <o:OLEObject Type="Embed" ProgID="Equation.3" ShapeID="_x0000_i1039" DrawAspect="Content" ObjectID="_1605525344" r:id="rId35"/>
              </w:object>
            </w:r>
          </w:p>
        </w:tc>
      </w:tr>
    </w:tbl>
    <w:p w:rsidR="007F19AB" w:rsidRDefault="007F19AB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AB" w:rsidRPr="00644747" w:rsidRDefault="007F19AB" w:rsidP="007F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747">
        <w:rPr>
          <w:rFonts w:ascii="Times New Roman" w:hAnsi="Times New Roman" w:cs="Times New Roman"/>
          <w:sz w:val="24"/>
          <w:szCs w:val="24"/>
        </w:rPr>
        <w:t>Таблица 2. Оценка соответствия инвестиционного проекта количественным критериям</w:t>
      </w:r>
    </w:p>
    <w:p w:rsidR="007F19AB" w:rsidRPr="00644747" w:rsidRDefault="007F19AB" w:rsidP="007F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7F19AB" w:rsidRPr="00644747" w:rsidTr="007F19AB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Допустимые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баллы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 оценки</w:t>
            </w:r>
            <w:proofErr w:type="gramStart"/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20" w:dyaOrig="360">
                <v:shape id="_x0000_i1040" type="#_x0000_t75" style="width:15.7pt;height:18.75pt" o:ole="" filled="t">
                  <v:fill color2="black"/>
                  <v:imagedata r:id="rId8" o:title=""/>
                </v:shape>
                <o:OLEObject Type="Embed" ProgID="Equation.3" ShapeID="_x0000_i1040" DrawAspect="Content" ObjectID="_1605525345" r:id="rId36"/>
              </w:objec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gramEnd"/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или «критерий не применим»)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Весовой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Коэффициент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критерия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00" w:dyaOrig="279">
                <v:shape id="_x0000_i1041" type="#_x0000_t75" style="width:14.7pt;height:14.2pt" o:ole="" filled="t">
                  <v:fill color2="black"/>
                  <v:imagedata r:id="rId37" o:title=""/>
                </v:shape>
                <o:OLEObject Type="Embed" ProgID="Equation.3" ShapeID="_x0000_i1041" DrawAspect="Content" ObjectID="_1605525346" r:id="rId38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Средневзвешенный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балл</w:t>
            </w:r>
            <w:proofErr w:type="gramStart"/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20" w:dyaOrig="360">
                <v:shape id="_x0000_i1042" type="#_x0000_t75" style="width:15.7pt;height:18.75pt" o:ole="" filled="t">
                  <v:fill color2="black"/>
                  <v:imagedata r:id="rId8" o:title=""/>
                </v:shape>
                <o:OLEObject Type="Embed" ProgID="Equation.3" ShapeID="_x0000_i1042" DrawAspect="Content" ObjectID="_1605525347" r:id="rId39"/>
              </w:objec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*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00" w:dyaOrig="279">
                <v:shape id="_x0000_i1043" type="#_x0000_t75" style="width:14.7pt;height:14.2pt" o:ole="" filled="t">
                  <v:fill color2="black"/>
                  <v:imagedata r:id="rId37" o:title=""/>
                </v:shape>
                <o:OLEObject Type="Embed" ProgID="Equation.3" ShapeID="_x0000_i1043" DrawAspect="Content" ObjectID="_1605525348" r:id="rId40"/>
              </w:objec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определению баллов 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Требования к документальным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подтверждениям</w:t>
            </w:r>
          </w:p>
        </w:tc>
      </w:tr>
      <w:tr w:rsidR="007F19AB" w:rsidRPr="00644747" w:rsidTr="007F19AB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7F19AB" w:rsidRPr="00644747" w:rsidTr="007F19AB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паспорте </w:t>
            </w:r>
            <w:proofErr w:type="gramStart"/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проекта инвестиционного проекта значения количественных показателей результатов его реализации</w:t>
            </w:r>
            <w:proofErr w:type="gramEnd"/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следующим требованиям: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-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</w:tbl>
    <w:p w:rsidR="00233A67" w:rsidRPr="0064474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7F19AB" w:rsidRPr="00644747" w:rsidTr="007F19AB">
        <w:trPr>
          <w:trHeight w:val="137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0,5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(таблица 3, пункт 14)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AB" w:rsidRPr="00644747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0,5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AB" w:rsidRPr="00644747" w:rsidTr="007F19AB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4.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паспорт инвестиционного проекта (пункт 2).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AB" w:rsidRPr="00644747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0,5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 равен 1 в случаях: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планируемого обеспечения,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данные об обеспеченности планируемого объема инженерной и транспортной инфраструктурой. При необходимости ссылки на соответствующие целевые 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AB" w:rsidRPr="00644747" w:rsidTr="007F19AB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20" w:dyaOrig="340">
                <v:shape id="_x0000_i1044" type="#_x0000_t75" style="width:15.7pt;height:17.25pt" o:ole="" filled="t">
                  <v:fill color2="black"/>
                  <v:imagedata r:id="rId24" o:title=""/>
                </v:shape>
                <o:OLEObject Type="Embed" ProgID="Equation.3" ShapeID="_x0000_i1044" DrawAspect="Content" ObjectID="_1605525349" r:id="rId41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AB" w:rsidRPr="00644747" w:rsidRDefault="007F19AB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AB" w:rsidRPr="00644747" w:rsidRDefault="00CC01A4" w:rsidP="007F1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pict>
                <v:shape id="_x0000_s1027" type="#_x0000_t75" style="position:absolute;left:0;text-align:left;margin-left:40pt;margin-top:31.7pt;width:66.9pt;height:27.5pt;z-index:251659264;mso-wrap-distance-left:9.05pt;mso-wrap-distance-right:9.05pt;mso-position-horizontal-relative:text;mso-position-vertical-relative:text" filled="t">
                  <v:fill color2="black"/>
                  <v:imagedata r:id="rId42" o:title=""/>
                  <w10:wrap type="square" side="right"/>
                </v:shape>
                <o:OLEObject Type="Embed" ProgID="Equation.3" ShapeID="_x0000_s1027" DrawAspect="Content" ObjectID="_1605525355" r:id="rId43"/>
              </w:pict>
            </w:r>
          </w:p>
        </w:tc>
      </w:tr>
    </w:tbl>
    <w:p w:rsidR="007F19AB" w:rsidRPr="00644747" w:rsidRDefault="007F19AB" w:rsidP="007F1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67" w:rsidRPr="0064474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28B" w:rsidRPr="00644747" w:rsidRDefault="00AC028B" w:rsidP="00AC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747">
        <w:rPr>
          <w:rFonts w:ascii="Times New Roman" w:hAnsi="Times New Roman" w:cs="Times New Roman"/>
          <w:sz w:val="24"/>
          <w:szCs w:val="24"/>
        </w:rPr>
        <w:t>Таблица 3. Интегральная оценка эффективности инвестиционного проекта</w:t>
      </w:r>
    </w:p>
    <w:p w:rsidR="00AC028B" w:rsidRPr="00644747" w:rsidRDefault="00AC028B" w:rsidP="00AC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28B" w:rsidRPr="00644747" w:rsidRDefault="00AC028B" w:rsidP="00AC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0"/>
        <w:gridCol w:w="5500"/>
        <w:gridCol w:w="4310"/>
      </w:tblGrid>
      <w:tr w:rsidR="00AC028B" w:rsidRPr="00644747" w:rsidTr="005571D2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Оценка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эффективности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Весовой</w:t>
            </w: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коэффициент</w:t>
            </w:r>
          </w:p>
        </w:tc>
      </w:tr>
      <w:tr w:rsidR="00AC028B" w:rsidRPr="00644747" w:rsidTr="005571D2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 основе качественных критериев,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00" w:dyaOrig="340">
                <v:shape id="_x0000_i1045" type="#_x0000_t75" style="width:14.7pt;height:17.25pt" o:ole="" filled="t">
                  <v:fill color2="black"/>
                  <v:imagedata r:id="rId22" o:title=""/>
                </v:shape>
                <o:OLEObject Type="Embed" ProgID="Equation.3" ShapeID="_x0000_i1045" DrawAspect="Content" ObjectID="_1605525350" r:id="rId44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000" w:dyaOrig="700">
                <v:shape id="_x0000_i1046" type="#_x0000_t75" style="width:198.75pt;height:37pt" o:ole="" filled="t">
                  <v:fill color2="black"/>
                  <v:imagedata r:id="rId45" o:title=""/>
                </v:shape>
                <o:OLEObject Type="Embed" ProgID="Equation.3" ShapeID="_x0000_i1046" DrawAspect="Content" ObjectID="_1605525351" r:id="rId46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0,2</w:t>
            </w:r>
          </w:p>
        </w:tc>
      </w:tr>
      <w:tr w:rsidR="00AC028B" w:rsidRPr="00644747" w:rsidTr="005571D2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 основе количественных критериев,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320" w:dyaOrig="340">
                <v:shape id="_x0000_i1047" type="#_x0000_t75" style="width:15.7pt;height:17.25pt" o:ole="" filled="t">
                  <v:fill color2="black"/>
                  <v:imagedata r:id="rId24" o:title=""/>
                </v:shape>
                <o:OLEObject Type="Embed" ProgID="Equation.3" ShapeID="_x0000_i1047" DrawAspect="Content" ObjectID="_1605525352" r:id="rId47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CC01A4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pict>
                <v:shape id="_x0000_s1028" type="#_x0000_t75" style="position:absolute;left:0;text-align:left;margin-left:50pt;margin-top:5.45pt;width:61.05pt;height:20.2pt;z-index:251661312;mso-wrap-distance-left:9.05pt;mso-wrap-distance-right:9.05pt;mso-position-horizontal-relative:text;mso-position-vertical-relative:text" filled="t">
                  <v:fill color2="black"/>
                  <v:imagedata r:id="rId48" o:title=""/>
                  <w10:wrap type="square" side="right"/>
                </v:shape>
                <o:OLEObject Type="Embed" ProgID="Equation.3" ShapeID="_x0000_s1028" DrawAspect="Content" ObjectID="_1605525356" r:id="rId49"/>
              </w:pict>
            </w:r>
          </w:p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0,8</w:t>
            </w:r>
          </w:p>
        </w:tc>
      </w:tr>
      <w:tr w:rsidR="00AC028B" w:rsidRPr="00644747" w:rsidTr="005571D2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540" w:dyaOrig="340">
                <v:shape id="_x0000_i1048" type="#_x0000_t75" style="width:26.85pt;height:17.25pt" o:ole="" filled="t">
                  <v:fill color2="black"/>
                  <v:imagedata r:id="rId18" o:title=""/>
                </v:shape>
                <o:OLEObject Type="Embed" ProgID="Equation.3" ShapeID="_x0000_i1048" DrawAspect="Content" ObjectID="_1605525353" r:id="rId50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object w:dxaOrig="2439" w:dyaOrig="340">
                <v:shape id="_x0000_i1049" type="#_x0000_t75" style="width:155.15pt;height:22.8pt" o:ole="" filled="t">
                  <v:fill color2="black"/>
                  <v:imagedata r:id="rId20" o:title=""/>
                </v:shape>
                <o:OLEObject Type="Embed" ProgID="Equation.3" ShapeID="_x0000_i1049" DrawAspect="Content" ObjectID="_1605525354" r:id="rId51"/>
              </w:object>
            </w: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8B" w:rsidRPr="00644747" w:rsidRDefault="00AC028B" w:rsidP="00AC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</w:tr>
    </w:tbl>
    <w:p w:rsidR="00644747" w:rsidRPr="00644747" w:rsidRDefault="00644747" w:rsidP="0023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4747" w:rsidRPr="00644747" w:rsidSect="0060684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44747" w:rsidRPr="00644747" w:rsidRDefault="00644747" w:rsidP="00644747">
      <w:pPr>
        <w:shd w:val="clear" w:color="auto" w:fill="FFFFFF"/>
        <w:tabs>
          <w:tab w:val="left" w:pos="9637"/>
        </w:tabs>
        <w:snapToGrid w:val="0"/>
        <w:spacing w:after="0" w:line="240" w:lineRule="auto"/>
        <w:ind w:left="2832" w:right="-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          </w:t>
      </w:r>
      <w:r w:rsidR="006068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Приложение  № 2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left="4088" w:firstLine="8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К Методике оценки эффективности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left="548" w:firstLine="86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использования средств местного бюджета, 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left="4248"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направляемых</w:t>
      </w:r>
      <w:proofErr w:type="gramEnd"/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капитальные вложения</w:t>
      </w:r>
    </w:p>
    <w:p w:rsidR="00644747" w:rsidRPr="00644747" w:rsidRDefault="00644747" w:rsidP="00644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ЗНАЧЕНИЯ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Весовых коэффициентов количественных критериев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%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"/>
        <w:gridCol w:w="4300"/>
        <w:gridCol w:w="2500"/>
        <w:gridCol w:w="2306"/>
      </w:tblGrid>
      <w:tr w:rsidR="00644747" w:rsidRPr="00644747" w:rsidTr="005571D2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36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  <w:p w:rsidR="00644747" w:rsidRPr="00644747" w:rsidRDefault="00644747" w:rsidP="00644747">
            <w:pPr>
              <w:shd w:val="clear" w:color="auto" w:fill="FFFFFF"/>
              <w:spacing w:after="0" w:line="360" w:lineRule="auto"/>
              <w:ind w:left="-10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06841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 (реконструкция) объектов капитального строительства</w:t>
            </w:r>
          </w:p>
        </w:tc>
      </w:tr>
      <w:tr w:rsidR="00644747" w:rsidRPr="00644747" w:rsidTr="005571D2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644747" w:rsidRPr="00644747" w:rsidTr="005571D2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644747" w:rsidRPr="00644747" w:rsidTr="005571D2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tabs>
                <w:tab w:val="left" w:pos="40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40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40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4747" w:rsidRPr="00644747" w:rsidTr="005571D2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</w:tr>
      <w:tr w:rsidR="00644747" w:rsidRPr="00644747" w:rsidTr="00644747">
        <w:trPr>
          <w:trHeight w:val="20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CC01A4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CC01A4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CC01A4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747" w:rsidRPr="00644747" w:rsidTr="005571D2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</w:tr>
      <w:tr w:rsidR="00644747" w:rsidRPr="00644747" w:rsidTr="005571D2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06841" w:rsidP="00644747">
            <w:pPr>
              <w:shd w:val="clear" w:color="auto" w:fill="FFFFFF"/>
              <w:snapToGrid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</w:tr>
    </w:tbl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44747" w:rsidRPr="00644747" w:rsidRDefault="00644747" w:rsidP="00644747">
      <w:pPr>
        <w:shd w:val="clear" w:color="auto" w:fill="FFFFFF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 № 3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left="3380" w:right="-2" w:firstLine="868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к Методике оценки эффективности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left="-160" w:right="-2" w:firstLine="86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использования средств местного бюджета,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right="-2" w:firstLine="90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</w:t>
      </w:r>
      <w:proofErr w:type="gramStart"/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направляемых</w:t>
      </w:r>
      <w:proofErr w:type="gramEnd"/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капитальные вложения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right="137" w:firstLine="56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left="5551" w:right="518" w:firstLine="76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РЕКОМЕНДУЕМЫЕ КОЛИЧЕСТВЕННЫЕ ПОКАЗАТЕЛИ,</w:t>
      </w:r>
    </w:p>
    <w:p w:rsidR="00644747" w:rsidRPr="00644747" w:rsidRDefault="00644747" w:rsidP="00644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44747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характеризующие цель и результаты реализации инвестиционного проекта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%</w:t>
      </w: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2700"/>
        <w:gridCol w:w="3910"/>
      </w:tblGrid>
      <w:tr w:rsidR="00644747" w:rsidRPr="00644747" w:rsidTr="005571D2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Объект капитального строительства</w:t>
            </w:r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Количественный показатель</w:t>
            </w:r>
          </w:p>
        </w:tc>
      </w:tr>
      <w:tr w:rsidR="00644747" w:rsidRPr="00644747" w:rsidTr="005571D2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характеризующий</w:t>
            </w:r>
            <w:proofErr w:type="gramEnd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Характеризующий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конечные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результаты проекта</w:t>
            </w:r>
          </w:p>
        </w:tc>
      </w:tr>
      <w:tr w:rsidR="00644747" w:rsidRPr="00644747" w:rsidTr="005571D2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4747" w:rsidRPr="00644747" w:rsidTr="005571D2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644747" w:rsidRPr="00644747" w:rsidTr="005571D2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другое</w:t>
            </w:r>
            <w:proofErr w:type="gramEnd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койко-мест; количество посещений в смену;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куб</w:t>
            </w:r>
            <w:proofErr w:type="spellEnd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644747" w:rsidRPr="00644747" w:rsidRDefault="00644747" w:rsidP="00644747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644747" w:rsidRPr="00644747" w:rsidTr="005571D2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 количество мест;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куб</w:t>
            </w:r>
            <w:proofErr w:type="spellEnd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644747" w:rsidRPr="00644747" w:rsidTr="005571D2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644747" w:rsidRPr="00644747" w:rsidTr="005571D2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Учреждения культуры (театры, музеи, библиотеки и </w:t>
            </w:r>
            <w:proofErr w:type="gram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другое</w:t>
            </w:r>
            <w:proofErr w:type="gramEnd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мест, количество посетителей в день;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библиотек - количество единиц библиотечного фонда;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куб</w:t>
            </w:r>
            <w:proofErr w:type="spellEnd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tabs>
                <w:tab w:val="left" w:pos="3684"/>
              </w:tabs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hd w:val="clear" w:color="auto" w:fill="FFFFFF"/>
              <w:tabs>
                <w:tab w:val="left" w:pos="3684"/>
              </w:tabs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644747" w:rsidRPr="00644747" w:rsidTr="005571D2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 количество мест;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куб</w:t>
            </w:r>
            <w:proofErr w:type="spellEnd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644747" w:rsidRPr="00644747" w:rsidTr="005571D2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общая площадь здания, кв. метров;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объем</w:t>
            </w: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куб</w:t>
            </w:r>
            <w:proofErr w:type="spellEnd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47" w:rsidRPr="00644747" w:rsidRDefault="00644747" w:rsidP="00644747">
            <w:pPr>
              <w:shd w:val="clear" w:color="auto" w:fill="FFFFFF"/>
              <w:snapToGri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1) количество создаваемых (сохраняемых) рабочих мест, единицы;</w:t>
            </w:r>
          </w:p>
          <w:p w:rsidR="00644747" w:rsidRPr="00644747" w:rsidRDefault="00644747" w:rsidP="00644747">
            <w:pPr>
              <w:shd w:val="clear" w:color="auto" w:fill="FFFFFF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4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44747" w:rsidRPr="00644747" w:rsidRDefault="00644747" w:rsidP="0064474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10" w:rsidRDefault="00CC4710" w:rsidP="00CC47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Утвержден</w:t>
      </w:r>
    </w:p>
    <w:p w:rsidR="00CC4710" w:rsidRDefault="00CC4710" w:rsidP="00CC471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CC4710" w:rsidRDefault="00CC4710" w:rsidP="00CC471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04.12.2018 № 340</w:t>
      </w:r>
    </w:p>
    <w:p w:rsidR="00CC4710" w:rsidRDefault="00CC4710" w:rsidP="00CC471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C4710" w:rsidRDefault="00CC4710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10" w:rsidRDefault="00CC4710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10" w:rsidRDefault="00CC4710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747" w:rsidRPr="00644747" w:rsidRDefault="00644747" w:rsidP="00CC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ПОРЯДОК</w:t>
      </w:r>
    </w:p>
    <w:p w:rsidR="00644747" w:rsidRPr="00644747" w:rsidRDefault="00644747" w:rsidP="00CC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4747">
        <w:rPr>
          <w:rFonts w:ascii="Times New Roman" w:hAnsi="Times New Roman" w:cs="Times New Roman"/>
          <w:sz w:val="28"/>
          <w:szCs w:val="28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Федерации, Ленинградской области и </w:t>
      </w:r>
      <w:r w:rsidR="00CC4710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44747">
        <w:rPr>
          <w:rFonts w:ascii="Times New Roman" w:hAnsi="Times New Roman" w:cs="Times New Roman"/>
          <w:sz w:val="28"/>
          <w:szCs w:val="28"/>
        </w:rPr>
        <w:t xml:space="preserve">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3. Реестр ведется на электронном и бумажном носителе путем внесения в него соответствующих записей.</w:t>
      </w:r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644747" w:rsidRPr="0064474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5. Реестровая запись содержит следующие сведения: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1) порядковый номер записи;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 xml:space="preserve">4) значения количественных показателей (показателя) реализации инвестиционного проекта, получившего положительное заключение об </w:t>
      </w:r>
      <w:r w:rsidRPr="00644747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747">
        <w:rPr>
          <w:rFonts w:ascii="Times New Roman" w:hAnsi="Times New Roman" w:cs="Times New Roman"/>
          <w:sz w:val="28"/>
          <w:szCs w:val="28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644747" w:rsidRPr="00644747" w:rsidRDefault="0064474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233A67" w:rsidRPr="00233A67" w:rsidRDefault="00644747" w:rsidP="00CC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47">
        <w:rPr>
          <w:rFonts w:ascii="Times New Roman" w:hAnsi="Times New Roman" w:cs="Times New Roman"/>
          <w:sz w:val="28"/>
          <w:szCs w:val="28"/>
        </w:rP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233A67" w:rsidRDefault="00233A67" w:rsidP="0023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67" w:rsidRPr="00B443A4" w:rsidRDefault="00233A67" w:rsidP="0064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A67">
        <w:rPr>
          <w:rFonts w:ascii="Times New Roman" w:hAnsi="Times New Roman" w:cs="Times New Roman"/>
          <w:sz w:val="28"/>
          <w:szCs w:val="28"/>
        </w:rPr>
        <w:tab/>
      </w:r>
    </w:p>
    <w:sectPr w:rsidR="00233A67" w:rsidRPr="00B443A4" w:rsidSect="006447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33A67"/>
    <w:rsid w:val="00246F20"/>
    <w:rsid w:val="00306FB1"/>
    <w:rsid w:val="00520231"/>
    <w:rsid w:val="005A79D0"/>
    <w:rsid w:val="00606841"/>
    <w:rsid w:val="006249E3"/>
    <w:rsid w:val="00644747"/>
    <w:rsid w:val="007942BA"/>
    <w:rsid w:val="007F0BB5"/>
    <w:rsid w:val="007F19AB"/>
    <w:rsid w:val="0094668F"/>
    <w:rsid w:val="00A50EE5"/>
    <w:rsid w:val="00AC028B"/>
    <w:rsid w:val="00B442ED"/>
    <w:rsid w:val="00B443A4"/>
    <w:rsid w:val="00BB7FB6"/>
    <w:rsid w:val="00CC01A4"/>
    <w:rsid w:val="00CC4710"/>
    <w:rsid w:val="00CD2826"/>
    <w:rsid w:val="00D56686"/>
    <w:rsid w:val="00E54D05"/>
    <w:rsid w:val="00ED32F0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C129-9614-49F5-88FB-5E824A17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8930</Words>
  <Characters>50907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7</cp:revision>
  <cp:lastPrinted>2018-12-05T11:25:00Z</cp:lastPrinted>
  <dcterms:created xsi:type="dcterms:W3CDTF">2018-12-05T07:07:00Z</dcterms:created>
  <dcterms:modified xsi:type="dcterms:W3CDTF">2018-12-05T11:28:00Z</dcterms:modified>
</cp:coreProperties>
</file>