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93" w:rsidRPr="00A36593" w:rsidRDefault="00A36593" w:rsidP="00A36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59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36593" w:rsidRPr="00A36593" w:rsidRDefault="00A36593" w:rsidP="00A36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593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A36593" w:rsidRPr="00A36593" w:rsidRDefault="00A36593" w:rsidP="00257D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593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A36593" w:rsidRPr="00A36593" w:rsidRDefault="00A36593" w:rsidP="00257D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593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A36593" w:rsidRPr="00A36593" w:rsidRDefault="00A36593" w:rsidP="00A36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593">
        <w:rPr>
          <w:rFonts w:ascii="Times New Roman" w:eastAsia="Calibri" w:hAnsi="Times New Roman" w:cs="Times New Roman"/>
          <w:b/>
          <w:sz w:val="28"/>
          <w:szCs w:val="28"/>
        </w:rPr>
        <w:t>СОВЕТ ДЕПУТАТОВ ТРЕТЬЕГО СОЗЫВА</w:t>
      </w:r>
    </w:p>
    <w:p w:rsidR="00A36593" w:rsidRPr="00A36593" w:rsidRDefault="00257D66" w:rsidP="00A36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СОРОК ДЕВЯТОЕ ЗАСЕДАНИЕ</w:t>
      </w:r>
    </w:p>
    <w:p w:rsidR="00A36593" w:rsidRPr="00A36593" w:rsidRDefault="00A36593" w:rsidP="00A36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6593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A36593" w:rsidRPr="00A36593" w:rsidRDefault="00A36593" w:rsidP="00A365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93" w:rsidRPr="00A36593" w:rsidRDefault="00A36593" w:rsidP="00A365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25.12.2018 </w:t>
      </w:r>
      <w:r w:rsidRPr="00A36593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257D66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1E4682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A36593" w:rsidRPr="00A36593" w:rsidRDefault="00A36593" w:rsidP="00A365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593" w:rsidRPr="00A36593" w:rsidRDefault="00A36593" w:rsidP="00A3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</w:t>
      </w:r>
    </w:p>
    <w:p w:rsidR="00A36593" w:rsidRPr="00A36593" w:rsidRDefault="00A36593" w:rsidP="00A3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гарантий по </w:t>
      </w:r>
      <w:proofErr w:type="gramStart"/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инвестиционным</w:t>
      </w:r>
      <w:proofErr w:type="gramEnd"/>
    </w:p>
    <w:p w:rsidR="00A36593" w:rsidRDefault="00A36593" w:rsidP="00A3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</w:p>
    <w:p w:rsidR="00A36593" w:rsidRDefault="00A36593" w:rsidP="00A3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</w:t>
      </w:r>
    </w:p>
    <w:p w:rsidR="00A36593" w:rsidRDefault="00A36593" w:rsidP="00A3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93" w:rsidRDefault="00A36593" w:rsidP="00A3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93" w:rsidRPr="00A36593" w:rsidRDefault="00A36593" w:rsidP="00A36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ст. 115, 117 Бюджетного кодекса Российской Федерации, ст. 19 Федерального закона от 25.02.1999 № 39-ФЗ «Об инвестиционной деятельности в Российской Федерации, осуществляемой в форме капитальных вложений»,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 депутатов Ульяновского городского поселения Тосненского района Ленинградской области 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6593" w:rsidRPr="00A36593" w:rsidRDefault="00A36593" w:rsidP="00A36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1. Утвердить Порядок предоставления муниципальных гарантий  </w:t>
      </w:r>
      <w:r w:rsidRPr="00A3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инвестиционным проектам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Ульяновского городского поселения Тосненского района Ленинградской области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A36593" w:rsidRDefault="00A36593" w:rsidP="00A36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Опубликовать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  решение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газете «Тосненский вестник» и разместить на официальном сайте </w:t>
      </w:r>
      <w:r w:rsidR="009F2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Ульяновского городского поселения Тосненского района Ленинградской области.</w:t>
      </w:r>
    </w:p>
    <w:p w:rsidR="00A36593" w:rsidRPr="00A36593" w:rsidRDefault="00A36593" w:rsidP="00A36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9F2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 Настоящее решение вступает в силу с момента его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публикования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36593" w:rsidRPr="00A36593" w:rsidRDefault="00A36593" w:rsidP="00A36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A36593" w:rsidRPr="00A36593" w:rsidRDefault="00A36593" w:rsidP="00A3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6593" w:rsidRPr="00A36593" w:rsidRDefault="00A36593" w:rsidP="00A3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Ульяновского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Г.Г. Азовкин</w:t>
      </w:r>
    </w:p>
    <w:p w:rsidR="00A36593" w:rsidRPr="00A36593" w:rsidRDefault="00A36593" w:rsidP="00A3659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</w:pPr>
    </w:p>
    <w:p w:rsidR="00A36593" w:rsidRPr="00A36593" w:rsidRDefault="00A36593" w:rsidP="00A3659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</w:pPr>
    </w:p>
    <w:p w:rsidR="00A36593" w:rsidRPr="00A36593" w:rsidRDefault="00A36593" w:rsidP="00A3659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</w:pPr>
    </w:p>
    <w:p w:rsidR="00A36593" w:rsidRPr="00A36593" w:rsidRDefault="00A36593" w:rsidP="00A3659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</w:pPr>
    </w:p>
    <w:p w:rsidR="00A36593" w:rsidRPr="00A36593" w:rsidRDefault="00A36593" w:rsidP="00A3659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</w:pPr>
    </w:p>
    <w:p w:rsidR="00A36593" w:rsidRDefault="00A36593" w:rsidP="00A3659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</w:pPr>
    </w:p>
    <w:p w:rsidR="00257D66" w:rsidRDefault="00257D66" w:rsidP="00A3659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</w:pPr>
    </w:p>
    <w:p w:rsidR="00257D66" w:rsidRPr="00A36593" w:rsidRDefault="00257D66" w:rsidP="00A3659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</w:pPr>
    </w:p>
    <w:p w:rsidR="00A36593" w:rsidRPr="00A36593" w:rsidRDefault="00A36593" w:rsidP="00A3659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</w:pPr>
    </w:p>
    <w:p w:rsidR="00A36593" w:rsidRPr="00A36593" w:rsidRDefault="00A36593" w:rsidP="00A3659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</w:pPr>
    </w:p>
    <w:p w:rsidR="00A36593" w:rsidRPr="00A36593" w:rsidRDefault="00A36593" w:rsidP="00A3659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</w:pPr>
    </w:p>
    <w:p w:rsidR="00A36593" w:rsidRPr="00A36593" w:rsidRDefault="00A36593" w:rsidP="00A3659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</w:pPr>
    </w:p>
    <w:p w:rsidR="00A36593" w:rsidRPr="00A36593" w:rsidRDefault="00A36593" w:rsidP="00A36593">
      <w:pPr>
        <w:autoSpaceDE w:val="0"/>
        <w:autoSpaceDN w:val="0"/>
        <w:adjustRightInd w:val="0"/>
        <w:spacing w:after="0" w:line="240" w:lineRule="auto"/>
        <w:ind w:left="5664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36593" w:rsidRPr="00A36593" w:rsidRDefault="00A36593" w:rsidP="00A3659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6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3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</w:p>
    <w:p w:rsidR="00A36593" w:rsidRPr="00A36593" w:rsidRDefault="00A36593" w:rsidP="00A36593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</w:p>
    <w:p w:rsidR="00A36593" w:rsidRPr="00A36593" w:rsidRDefault="00A36593" w:rsidP="00A3659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2018 г № </w:t>
      </w:r>
      <w:r w:rsid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</w:t>
      </w:r>
    </w:p>
    <w:p w:rsidR="00A36593" w:rsidRPr="00A36593" w:rsidRDefault="00A36593" w:rsidP="00A36593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  <w:lang w:eastAsia="ru-RU"/>
        </w:rPr>
      </w:pPr>
    </w:p>
    <w:p w:rsidR="00A36593" w:rsidRPr="00A36593" w:rsidRDefault="00A36593" w:rsidP="00A3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9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  <w:lang w:eastAsia="ru-RU"/>
        </w:rPr>
        <w:t>   </w:t>
      </w:r>
    </w:p>
    <w:p w:rsidR="00A36593" w:rsidRDefault="00A36593" w:rsidP="00A36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A36593" w:rsidRPr="00A36593" w:rsidRDefault="00A36593" w:rsidP="00A36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муниципальных гарантий по инвестиционным проектам Ульяновского городского поселения Тосненского района Ленинградской области </w:t>
      </w:r>
    </w:p>
    <w:p w:rsidR="00A36593" w:rsidRPr="00A36593" w:rsidRDefault="00A36593" w:rsidP="00A3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Настоящий Порядок  </w:t>
      </w:r>
      <w:proofErr w:type="gramStart"/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устанавливает  единые  условия</w:t>
      </w:r>
      <w:proofErr w:type="gramEnd"/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предоставления муниципальных гарантий </w:t>
      </w:r>
      <w:r w:rsidRPr="00A3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инвестиционным проектам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также – гарантии) в целях обеспечения общего доступа индивидуальных предпринимателей, юридических лиц к получению гарантий, надлежащего исполнения обязательств индивидуальных предпринимателей, юридических лиц перед бенефициарами для реализации инвестиционных проектов. 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Настоящий Порядок направлен на повышение эффективности предоставления гарантий за счет применения формализованного конкурсного отбора наиболее перспективных предложений о предоставлении гарантий, а также снижение рисков невыполнения получателем гарантий своих обязательств, приводящих к увеличению расходов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городское 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поселение). 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proofErr w:type="gramStart"/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Муниципальная гарантия – вид долгового обязательства, в силу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городское 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поселение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бенефициаром. </w:t>
      </w:r>
      <w:proofErr w:type="gramEnd"/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 Гарантии предоставляются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администрацией Ульяновского городского поселения Тосненского района Ленинградской области 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администрация)  в пределах сумм, предусмотренных решением о бюджете поселения, договором о предоставлении гарантии, в соответствии с Бюджетным </w:t>
      </w:r>
      <w:hyperlink r:id="rId5" w:history="1">
        <w:r w:rsidRPr="00A3659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кодексом</w:t>
        </w:r>
      </w:hyperlink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Российской Федерации и настоящим Порядком.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 Получателями гарантий являются организации, индивидуальные предприниматели, зарегистрированные в установленном порядке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городского 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</w:t>
      </w:r>
      <w:r w:rsidRPr="00A3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осуществляющие деятельность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городского 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(далее – принципалы). 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 Получателями гарантий не могут быть:</w:t>
      </w:r>
    </w:p>
    <w:p w:rsidR="00A36593" w:rsidRPr="00A36593" w:rsidRDefault="00A36593" w:rsidP="00A36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 принципалы, в отношении которых в установленном порядке принято решение о реорганизации или ликвидации; </w:t>
      </w:r>
    </w:p>
    <w:p w:rsidR="00A36593" w:rsidRPr="00A36593" w:rsidRDefault="00A36593" w:rsidP="00A36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 принципалы, в отношении которых возбуждена процедура банкротства;</w:t>
      </w:r>
    </w:p>
    <w:p w:rsidR="00A36593" w:rsidRPr="00A36593" w:rsidRDefault="00A36593" w:rsidP="00A36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 принципалы, на имущество которых обращено взыскание в порядке, установленном действующим законодательством; </w:t>
      </w:r>
    </w:p>
    <w:p w:rsidR="00A36593" w:rsidRPr="00A36593" w:rsidRDefault="00A36593" w:rsidP="00A36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принципалы, имеющие просроченную задолженность по уплате налогов и сборов в бюджеты всех уровней бюджетной системы Российской Федерации; </w:t>
      </w:r>
    </w:p>
    <w:p w:rsidR="00A36593" w:rsidRPr="00A36593" w:rsidRDefault="00A36593" w:rsidP="00A36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принципалы, имеющие просроченную задолженность по ранее предоставленным на возвратной основе бюджетным средствам; </w:t>
      </w:r>
    </w:p>
    <w:p w:rsidR="00A36593" w:rsidRPr="00A36593" w:rsidRDefault="00A36593" w:rsidP="00A36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принципалы, имеющие неурегулированные обязательства по гарантиям, ранее им предоставленным поселением; </w:t>
      </w:r>
    </w:p>
    <w:p w:rsidR="00A36593" w:rsidRPr="00A36593" w:rsidRDefault="00A36593" w:rsidP="00A36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принципалы, не имеющие иного (кроме гарантии) обеспечения исполнения обязатель</w:t>
      </w:r>
      <w:proofErr w:type="gramStart"/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 пр</w:t>
      </w:r>
      <w:proofErr w:type="gramEnd"/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инципала по кредитному договору. При этом общая сумма обеспечения исполнения обязатель</w:t>
      </w:r>
      <w:proofErr w:type="gramStart"/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пр</w:t>
      </w:r>
      <w:proofErr w:type="gramEnd"/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инципала по кредитному договору, включая гарантию, должна составлять не менее 100 процентов суммы кредита (основного долга). 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 Гарантии предоставляются принципалам для выполнения социально значимых задач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городского 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поселения. Для целей настоящего Порядка социально значимой для  поселения признается задача, содержащая обоснование целесообразности объемов и сроков осуществления вложений, необходимых для осуществления инвестиционной, инновационной и основной производственной деятельности, стабилизации финансового состояния принципалов, в целях сохранения рабочих мест, улучшения экологической ситуации в поселении,  для решения иных задач социального характера. 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 Гарантии по инвестиционным проектам предоставляются в порядке, установленном Федеральным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 от 25.02.1999 N 39-ФЗ  «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инвестиционной деятельности в Российской Федерации, осуществляемой в форме капитальных вложени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й»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 Гарантиями не обеспечивается исполнение иных обязатель</w:t>
      </w:r>
      <w:proofErr w:type="gramStart"/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пр</w:t>
      </w:r>
      <w:proofErr w:type="gramEnd"/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инципала по кредитному договору, в том числе по уплате процентов за пользование кредитом, иных процентов, комиссий, неустойки (штрафов и пеней), а также ответственность принципала за неисполнение или ненадлежащее исполнение своих обязательств по кредитному договору и причинение убытков. 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 Гарантии предоставляются по кредитам банков, имеющих генеральную лицензию Центрального банка Российской Федерации на осуществление банковских операций. 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 Для получения гарантии принципалы, желающие получить гарантию,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направляют в администрацию 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документы согласно перечню, установленному администрацией. 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 Администрация в течение пяти рабочих дней со дня поступления документов, указанных в пункте 11 настоящего Порядка, осуществляет проверку соответствия пакета представленных документов установленному 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перечню. В случае</w:t>
      </w:r>
      <w:proofErr w:type="gramStart"/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представленный пакет документов не соответствует установленному перечню, то он возвращается принципалу в течение двух рабочих дней после дня завершения проверки уполномоченным органом представленного пакета документов. 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 Администрация осуществляет анализ финансового состояния принципала в целях предоставления гарантии. 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 Поступившие документы и результаты анализа финансового состояния принципала направляются в совещательный орган</w:t>
      </w:r>
      <w:r w:rsidRPr="00A3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области развития малого и среднего предпринимательства, образуемый администрацией</w:t>
      </w:r>
      <w:r w:rsidRPr="00A3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(далее – совещательный орган), для установления социальной значимости предлагаемой к выполнению задачи и предварительной оценки целесообразности предоставления гарантии. 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 На основании подготовленной совещательным органом предварительной оценки целесообразности предоставления гарантии администрация готовит проект распоряжения о предоставлении гарантии принципалу с указанием суммы, целей и условий ее предоставления или об отказе в ее предоставлении. 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 Порядок исполнения, случаи прекращения действия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о предоставлении гарантии с учетом условий, установленных Бюджетным кодексом Российской Федерации. </w:t>
      </w:r>
    </w:p>
    <w:p w:rsidR="00A36593" w:rsidRPr="00A36593" w:rsidRDefault="00A36593" w:rsidP="00A36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 Предусмотренное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пр</w:t>
      </w:r>
      <w:proofErr w:type="gramEnd"/>
      <w:r w:rsidRPr="00A36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инципала, обеспеченных гарантией, но не более суммы, на которую выдана гарантия. При невыполнении принципалом (его поручителем, гарантом) своих обязательств по возмещению сумм, уплаченных гарантом бенефициару по гарантии (регресс), предусмотренных договором о предоставлении гарантии, администрация принимает меры по принудительному взысканию с принципала (его поручителя, гаранта) просроченной задолженности, в том числе по обращению взыскания на предмет залога.</w:t>
      </w:r>
    </w:p>
    <w:p w:rsidR="00A36593" w:rsidRPr="00A36593" w:rsidRDefault="00A36593" w:rsidP="00A36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93" w:rsidRPr="00A36593" w:rsidRDefault="00A36593" w:rsidP="00A36593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BE4C0D" w:rsidRPr="00A36593" w:rsidRDefault="00BE4C0D" w:rsidP="000565F8">
      <w:pPr>
        <w:rPr>
          <w:rFonts w:ascii="Times New Roman" w:hAnsi="Times New Roman" w:cs="Times New Roman"/>
          <w:sz w:val="28"/>
          <w:szCs w:val="28"/>
        </w:rPr>
      </w:pPr>
    </w:p>
    <w:sectPr w:rsidR="00BE4C0D" w:rsidRPr="00A36593" w:rsidSect="00F3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ED"/>
    <w:rsid w:val="000565F8"/>
    <w:rsid w:val="00065F6E"/>
    <w:rsid w:val="00085A66"/>
    <w:rsid w:val="000A0EB6"/>
    <w:rsid w:val="001C3953"/>
    <w:rsid w:val="001E4682"/>
    <w:rsid w:val="00214C80"/>
    <w:rsid w:val="00257D66"/>
    <w:rsid w:val="003449C0"/>
    <w:rsid w:val="005419D3"/>
    <w:rsid w:val="0063719B"/>
    <w:rsid w:val="0071171F"/>
    <w:rsid w:val="007D0760"/>
    <w:rsid w:val="00893951"/>
    <w:rsid w:val="008C0741"/>
    <w:rsid w:val="009145B4"/>
    <w:rsid w:val="009F28CE"/>
    <w:rsid w:val="00A36593"/>
    <w:rsid w:val="00BB7E9A"/>
    <w:rsid w:val="00BE4C0D"/>
    <w:rsid w:val="00CA3FED"/>
    <w:rsid w:val="00CC397C"/>
    <w:rsid w:val="00E71A2C"/>
    <w:rsid w:val="00E803BA"/>
    <w:rsid w:val="00E8391E"/>
    <w:rsid w:val="00F3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B54D3FA1CA57B556AF602930F49F3DCE387531A87E6C9713AF2D2B8846A1348C4D90BEC857z4W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A7B2-01D7-456C-ABD2-BAD0C346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cp:lastPrinted>2018-12-13T07:14:00Z</cp:lastPrinted>
  <dcterms:created xsi:type="dcterms:W3CDTF">2018-12-24T07:16:00Z</dcterms:created>
  <dcterms:modified xsi:type="dcterms:W3CDTF">2018-12-24T07:16:00Z</dcterms:modified>
</cp:coreProperties>
</file>