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5B5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EF7CC2" w:rsidP="00547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EF7CC2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840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4A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A7873" w:rsidRPr="003A7873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№766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BF169D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</w:t>
      </w:r>
      <w:r w:rsidR="005479EF">
        <w:rPr>
          <w:rFonts w:ascii="Times New Roman" w:eastAsia="Calibri" w:hAnsi="Times New Roman" w:cs="Times New Roman"/>
          <w:sz w:val="28"/>
          <w:szCs w:val="28"/>
        </w:rPr>
        <w:t>2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5479EF">
        <w:rPr>
          <w:rFonts w:ascii="Times New Roman" w:eastAsia="Calibri" w:hAnsi="Times New Roman" w:cs="Times New Roman"/>
          <w:sz w:val="28"/>
          <w:szCs w:val="28"/>
        </w:rPr>
        <w:t>3</w:t>
      </w:r>
      <w:r w:rsidR="00BF169D">
        <w:rPr>
          <w:rFonts w:ascii="Times New Roman" w:eastAsia="Calibri" w:hAnsi="Times New Roman" w:cs="Times New Roman"/>
          <w:sz w:val="28"/>
          <w:szCs w:val="28"/>
        </w:rPr>
        <w:t>-202</w:t>
      </w:r>
      <w:r w:rsidR="005479EF">
        <w:rPr>
          <w:rFonts w:ascii="Times New Roman" w:eastAsia="Calibri" w:hAnsi="Times New Roman" w:cs="Times New Roman"/>
          <w:sz w:val="28"/>
          <w:szCs w:val="28"/>
        </w:rPr>
        <w:t>4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21.11.2019 №766 «Об утверждении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4052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80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муниципальную программу «Развитие градостроительной деятельности и территориального планирования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69D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0-2024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в новой редакции, согласно </w:t>
      </w:r>
      <w:r w:rsidR="00867BAC">
        <w:rPr>
          <w:rFonts w:ascii="Times New Roman" w:eastAsia="Calibri" w:hAnsi="Times New Roman" w:cs="Times New Roman"/>
          <w:sz w:val="28"/>
          <w:szCs w:val="28"/>
        </w:rPr>
        <w:t>приложению к постановлению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>П</w:t>
      </w:r>
      <w:r w:rsidR="0003736D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</w:t>
      </w:r>
      <w:r w:rsidR="00891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BAC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91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Ульяновского городского поселения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EF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F7CC2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1"/>
        <w:gridCol w:w="970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A65CB4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муниципального образования;</w:t>
            </w:r>
          </w:p>
          <w:p w:rsidR="0047482E" w:rsidRPr="002E69AB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льготным категориям граждан.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416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735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75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235</w:t>
            </w:r>
            <w:r w:rsidR="00DA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93A5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D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73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7C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211C27" w:rsidRDefault="002623FB" w:rsidP="00211C2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2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211C27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</w:t>
      </w:r>
      <w:r w:rsidR="00211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E3D" w:rsidRPr="00EA505F" w:rsidRDefault="00211C27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благополучия населения</w:t>
      </w:r>
      <w:r w:rsidR="001E5E3D"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6"/>
        <w:gridCol w:w="4726"/>
        <w:gridCol w:w="1546"/>
        <w:gridCol w:w="1741"/>
        <w:gridCol w:w="1718"/>
        <w:gridCol w:w="1430"/>
        <w:gridCol w:w="1162"/>
        <w:gridCol w:w="135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и бесплатного предоставления льготным категориям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085FF7" w:rsidRDefault="00085FF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B77DA9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5479EF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376C65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376C65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C27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FF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7C3833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85"/>
        <w:gridCol w:w="600"/>
        <w:gridCol w:w="1795"/>
        <w:gridCol w:w="1304"/>
        <w:gridCol w:w="2079"/>
        <w:gridCol w:w="994"/>
        <w:gridCol w:w="1605"/>
        <w:gridCol w:w="1548"/>
        <w:gridCol w:w="1241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в 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1A5942" w:rsidRDefault="00151A4B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60326D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предоставления;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151A4B" w:rsidRPr="00DA0A66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:rsidR="00151A4B" w:rsidRPr="007339A9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1C27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3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0F392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0F392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0F392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  <w:p w:rsidR="009E30CE" w:rsidRPr="00DA0A66" w:rsidRDefault="0003736D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DA0A66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E30C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E30CE" w:rsidRPr="005479EF" w:rsidRDefault="0003736D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A57B1F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Default="00A57B1F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1F"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93A50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A57B1F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(части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8C6D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8C6D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3583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санитарно-защитной зоны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7C3833" w:rsidRPr="00B67126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5479EF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5479EF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5479EF" w:rsidP="0003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36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5479EF" w:rsidP="0003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3736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68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9B9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693A50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7DA9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5759B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3736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B3" w:rsidRDefault="003836B3" w:rsidP="003B0E1D">
      <w:pPr>
        <w:spacing w:after="0" w:line="240" w:lineRule="auto"/>
      </w:pPr>
      <w:r>
        <w:separator/>
      </w:r>
    </w:p>
  </w:endnote>
  <w:endnote w:type="continuationSeparator" w:id="0">
    <w:p w:rsidR="003836B3" w:rsidRDefault="003836B3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B3" w:rsidRDefault="003836B3" w:rsidP="003B0E1D">
      <w:pPr>
        <w:spacing w:after="0" w:line="240" w:lineRule="auto"/>
      </w:pPr>
      <w:r>
        <w:separator/>
      </w:r>
    </w:p>
  </w:footnote>
  <w:footnote w:type="continuationSeparator" w:id="0">
    <w:p w:rsidR="003836B3" w:rsidRDefault="003836B3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3736D"/>
    <w:rsid w:val="00042136"/>
    <w:rsid w:val="000856D5"/>
    <w:rsid w:val="00085FF7"/>
    <w:rsid w:val="000A4C78"/>
    <w:rsid w:val="000A6574"/>
    <w:rsid w:val="000B4272"/>
    <w:rsid w:val="000B5BF2"/>
    <w:rsid w:val="000C0A8E"/>
    <w:rsid w:val="000F37B0"/>
    <w:rsid w:val="000F392A"/>
    <w:rsid w:val="001066D8"/>
    <w:rsid w:val="00120645"/>
    <w:rsid w:val="00126D3E"/>
    <w:rsid w:val="00134B19"/>
    <w:rsid w:val="00136421"/>
    <w:rsid w:val="00142D81"/>
    <w:rsid w:val="00147EBA"/>
    <w:rsid w:val="00151A4B"/>
    <w:rsid w:val="00160D49"/>
    <w:rsid w:val="0017298C"/>
    <w:rsid w:val="00183B8F"/>
    <w:rsid w:val="001A4052"/>
    <w:rsid w:val="001A5942"/>
    <w:rsid w:val="001D1047"/>
    <w:rsid w:val="001E5E3D"/>
    <w:rsid w:val="00201E99"/>
    <w:rsid w:val="00211C27"/>
    <w:rsid w:val="002215B3"/>
    <w:rsid w:val="00224083"/>
    <w:rsid w:val="002240BA"/>
    <w:rsid w:val="00224658"/>
    <w:rsid w:val="00224DAA"/>
    <w:rsid w:val="00231B79"/>
    <w:rsid w:val="0023516E"/>
    <w:rsid w:val="00237AFA"/>
    <w:rsid w:val="00242692"/>
    <w:rsid w:val="00243CE6"/>
    <w:rsid w:val="002623FB"/>
    <w:rsid w:val="00274CC8"/>
    <w:rsid w:val="00276121"/>
    <w:rsid w:val="0028554D"/>
    <w:rsid w:val="00293542"/>
    <w:rsid w:val="002A25FA"/>
    <w:rsid w:val="002A2A64"/>
    <w:rsid w:val="002A5903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53C57"/>
    <w:rsid w:val="00374A63"/>
    <w:rsid w:val="00375BF0"/>
    <w:rsid w:val="00376C65"/>
    <w:rsid w:val="003836B3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E7FA8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516DD"/>
    <w:rsid w:val="00472B8A"/>
    <w:rsid w:val="0047482E"/>
    <w:rsid w:val="004820CA"/>
    <w:rsid w:val="0049497F"/>
    <w:rsid w:val="004A5159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14214"/>
    <w:rsid w:val="00517114"/>
    <w:rsid w:val="0053360B"/>
    <w:rsid w:val="00535D6C"/>
    <w:rsid w:val="00535F0E"/>
    <w:rsid w:val="005439F2"/>
    <w:rsid w:val="005479EF"/>
    <w:rsid w:val="005555F2"/>
    <w:rsid w:val="00556E65"/>
    <w:rsid w:val="005571E5"/>
    <w:rsid w:val="00565B83"/>
    <w:rsid w:val="00570B68"/>
    <w:rsid w:val="005759B9"/>
    <w:rsid w:val="00576A96"/>
    <w:rsid w:val="005C36B5"/>
    <w:rsid w:val="005D08BC"/>
    <w:rsid w:val="005D2557"/>
    <w:rsid w:val="006002C3"/>
    <w:rsid w:val="0060326D"/>
    <w:rsid w:val="00606F5F"/>
    <w:rsid w:val="00610609"/>
    <w:rsid w:val="00612B8D"/>
    <w:rsid w:val="006169AD"/>
    <w:rsid w:val="00624047"/>
    <w:rsid w:val="006310D4"/>
    <w:rsid w:val="00632321"/>
    <w:rsid w:val="00632C6A"/>
    <w:rsid w:val="00654540"/>
    <w:rsid w:val="006577D4"/>
    <w:rsid w:val="00663F3C"/>
    <w:rsid w:val="006761E3"/>
    <w:rsid w:val="00676BBC"/>
    <w:rsid w:val="00693A50"/>
    <w:rsid w:val="006A2F09"/>
    <w:rsid w:val="006C166C"/>
    <w:rsid w:val="006C37F6"/>
    <w:rsid w:val="006C6D1D"/>
    <w:rsid w:val="006D50F5"/>
    <w:rsid w:val="006E686D"/>
    <w:rsid w:val="006F59AC"/>
    <w:rsid w:val="006F6273"/>
    <w:rsid w:val="00705255"/>
    <w:rsid w:val="0072259E"/>
    <w:rsid w:val="007311E2"/>
    <w:rsid w:val="007339A9"/>
    <w:rsid w:val="0073434D"/>
    <w:rsid w:val="0073583A"/>
    <w:rsid w:val="0074267C"/>
    <w:rsid w:val="00750F68"/>
    <w:rsid w:val="00751AB5"/>
    <w:rsid w:val="007654E0"/>
    <w:rsid w:val="007720CA"/>
    <w:rsid w:val="00786DF7"/>
    <w:rsid w:val="00797B10"/>
    <w:rsid w:val="007A401B"/>
    <w:rsid w:val="007A5ED8"/>
    <w:rsid w:val="007B7A85"/>
    <w:rsid w:val="007C12B2"/>
    <w:rsid w:val="007C3833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67BAC"/>
    <w:rsid w:val="00890AE2"/>
    <w:rsid w:val="00891C6B"/>
    <w:rsid w:val="00894A55"/>
    <w:rsid w:val="008958D8"/>
    <w:rsid w:val="008C6DCE"/>
    <w:rsid w:val="008D4ADE"/>
    <w:rsid w:val="008D4C22"/>
    <w:rsid w:val="008E7939"/>
    <w:rsid w:val="008F0A3D"/>
    <w:rsid w:val="008F0B01"/>
    <w:rsid w:val="008F1FC1"/>
    <w:rsid w:val="00901718"/>
    <w:rsid w:val="00926349"/>
    <w:rsid w:val="00941686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9E30CE"/>
    <w:rsid w:val="00A001F8"/>
    <w:rsid w:val="00A02F7E"/>
    <w:rsid w:val="00A1788D"/>
    <w:rsid w:val="00A22698"/>
    <w:rsid w:val="00A27320"/>
    <w:rsid w:val="00A3229A"/>
    <w:rsid w:val="00A55D60"/>
    <w:rsid w:val="00A57B1F"/>
    <w:rsid w:val="00A60836"/>
    <w:rsid w:val="00A65CB4"/>
    <w:rsid w:val="00A7047F"/>
    <w:rsid w:val="00A72DF1"/>
    <w:rsid w:val="00A77344"/>
    <w:rsid w:val="00A8034A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535D9"/>
    <w:rsid w:val="00B6305C"/>
    <w:rsid w:val="00B67126"/>
    <w:rsid w:val="00B756D4"/>
    <w:rsid w:val="00B77DA9"/>
    <w:rsid w:val="00B80AAA"/>
    <w:rsid w:val="00B976E7"/>
    <w:rsid w:val="00BB19F4"/>
    <w:rsid w:val="00BB33DD"/>
    <w:rsid w:val="00BB5BB2"/>
    <w:rsid w:val="00BC524D"/>
    <w:rsid w:val="00BD363A"/>
    <w:rsid w:val="00BE39AA"/>
    <w:rsid w:val="00BE534A"/>
    <w:rsid w:val="00BE5636"/>
    <w:rsid w:val="00BF169D"/>
    <w:rsid w:val="00BF2AFB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83083"/>
    <w:rsid w:val="00D926DE"/>
    <w:rsid w:val="00DA0A66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EF7CC2"/>
    <w:rsid w:val="00F00F64"/>
    <w:rsid w:val="00F165C3"/>
    <w:rsid w:val="00F25F56"/>
    <w:rsid w:val="00F37D5A"/>
    <w:rsid w:val="00F51C73"/>
    <w:rsid w:val="00F64B8C"/>
    <w:rsid w:val="00F66E89"/>
    <w:rsid w:val="00F67F8C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B2DF"/>
  <w15:docId w15:val="{2282D94F-872D-447E-B1BE-1BE3443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A225-8220-4F2B-AE56-8728AE1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2021-10-25T06:42:00Z</cp:lastPrinted>
  <dcterms:created xsi:type="dcterms:W3CDTF">2021-10-05T07:28:00Z</dcterms:created>
  <dcterms:modified xsi:type="dcterms:W3CDTF">2021-10-25T06:43:00Z</dcterms:modified>
</cp:coreProperties>
</file>