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FBB4D61" wp14:editId="3F9459AE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 w:rsidR="00AE28D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800F07" w:rsidRPr="00F46658" w:rsidTr="006B73DD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800F07" w:rsidRPr="00F46658" w:rsidRDefault="00E649B3" w:rsidP="006B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25.11.2021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800F07" w:rsidRPr="00F46658" w:rsidRDefault="00E649B3" w:rsidP="0092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</w:tr>
    </w:tbl>
    <w:p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17D3" w:rsidRPr="00F600C0" w:rsidRDefault="009217D3" w:rsidP="009217D3">
      <w:pPr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Ульяновского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27.02.2020 № 86</w:t>
      </w:r>
      <w:r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 w:rsidR="004A24BE">
        <w:rPr>
          <w:rFonts w:ascii="Times New Roman" w:hAnsi="Times New Roman" w:cs="Times New Roman"/>
          <w:sz w:val="28"/>
          <w:szCs w:val="28"/>
        </w:rPr>
        <w:t xml:space="preserve"> (в ред. от 02.04.2021</w:t>
      </w:r>
      <w:r>
        <w:rPr>
          <w:rFonts w:ascii="Times New Roman" w:hAnsi="Times New Roman" w:cs="Times New Roman"/>
          <w:sz w:val="28"/>
          <w:szCs w:val="28"/>
        </w:rPr>
        <w:t xml:space="preserve"> № 188)</w:t>
      </w:r>
    </w:p>
    <w:p w:rsidR="00800F07" w:rsidRPr="00F46658" w:rsidRDefault="00800F07" w:rsidP="00800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9E02CC" w:rsidRDefault="00800F07" w:rsidP="00A81185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</w:t>
      </w:r>
      <w:r w:rsidR="004A24BE">
        <w:rPr>
          <w:rFonts w:ascii="Times New Roman" w:eastAsia="Calibri" w:hAnsi="Times New Roman" w:cs="Times New Roman"/>
          <w:sz w:val="28"/>
          <w:szCs w:val="28"/>
          <w:lang w:eastAsia="ru-RU"/>
        </w:rPr>
        <w:t>йствии коррупции», от 03.12.201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доходам»,</w:t>
      </w:r>
      <w:r w:rsidRPr="00F46658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02.03.2007 № 25-ФЗ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, Законом 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отдельных</w:t>
      </w:r>
      <w:r w:rsidRPr="009E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», руководствуясь Уставом Ульяновского городского поселения Тосненского района Ленинградской области</w:t>
      </w:r>
    </w:p>
    <w:p w:rsidR="00800F07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17D3" w:rsidRPr="00A41C96" w:rsidRDefault="009217D3" w:rsidP="009217D3">
      <w:pPr>
        <w:pStyle w:val="a7"/>
        <w:numPr>
          <w:ilvl w:val="0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>она Ленинградской области 27.02.2020 № 86</w:t>
      </w:r>
      <w:r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</w:t>
      </w:r>
      <w:r w:rsidRPr="00F466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служащими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приложение к постановлению администрации </w:t>
      </w:r>
      <w:r w:rsidRPr="006808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>она Ленинградской области 27.02.2020 № 86</w:t>
      </w:r>
      <w:r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( в ред. от 02.04.2021 № 188)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настоящему постановлению. </w:t>
      </w:r>
    </w:p>
    <w:p w:rsidR="00800F07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921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сетевом издании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«ЛЕНОБЛИНФОРМ» и разместить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800F07" w:rsidRDefault="00800F07" w:rsidP="00800F0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</w:t>
      </w:r>
      <w:r w:rsidR="009217D3">
        <w:rPr>
          <w:b w:val="0"/>
          <w:bCs w:val="0"/>
          <w:sz w:val="28"/>
          <w:szCs w:val="28"/>
        </w:rPr>
        <w:t xml:space="preserve">постановление </w:t>
      </w:r>
      <w:r>
        <w:rPr>
          <w:b w:val="0"/>
          <w:bCs w:val="0"/>
          <w:sz w:val="28"/>
          <w:szCs w:val="28"/>
        </w:rPr>
        <w:t>вступает в силу с момента официального опубликования.</w:t>
      </w: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00F07" w:rsidSect="004A2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7D3" w:rsidRDefault="009217D3" w:rsidP="009217D3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9217D3" w:rsidRPr="00F46658" w:rsidRDefault="009217D3" w:rsidP="009217D3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Л</w:t>
      </w:r>
      <w:r w:rsidR="004A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енинградской области от 25.11.2021 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A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951</w:t>
      </w:r>
    </w:p>
    <w:p w:rsidR="00383727" w:rsidRDefault="00383727" w:rsidP="0038372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9217D3" w:rsidRDefault="009217D3" w:rsidP="009217D3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D3" w:rsidRDefault="009217D3" w:rsidP="009217D3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</w:p>
    <w:p w:rsidR="00800F07" w:rsidRPr="00F46658" w:rsidRDefault="009217D3" w:rsidP="00800F0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800F07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Ленинградской области от 27.02.2020</w:t>
      </w:r>
      <w:r w:rsidR="00800F07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4A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4BE">
        <w:rPr>
          <w:rFonts w:ascii="Times New Roman" w:hAnsi="Times New Roman" w:cs="Times New Roman"/>
          <w:sz w:val="28"/>
          <w:szCs w:val="28"/>
        </w:rPr>
        <w:t>(в ред. от 02.04.2021 № 188)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Pr="00E379B0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представлении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AE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службы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муниципальными 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служащими сведений о доходах,</w:t>
      </w:r>
      <w:r w:rsidR="0060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расходах,</w:t>
      </w:r>
      <w:r w:rsidR="00AE28D7"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имуществе и обязательствах имущественного характера</w:t>
      </w:r>
    </w:p>
    <w:p w:rsidR="00800F07" w:rsidRPr="00E379B0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администрации Ульяновского городского поселения Тосненского района Ленинградской области (далее –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службы)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имуществе, принадлежащем им на праве собственности,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обязательствах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(супруга) и несовершеннолетних детей, об имуществе, принадлежащем им на праве собственности, и об их обязательствах имущественного характера (далее - сведения о доходах, об имуществе и обязательствах имущественного характера).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Обязанность представлять сведения о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имуществе и обязательствах имущественного характера в соответствии с федеральными законами возлагается: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гражданина, претендующего на замещение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(далее –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гражданин);</w:t>
      </w:r>
    </w:p>
    <w:p w:rsidR="00800F07" w:rsidRPr="00E379B0" w:rsidRDefault="007D0481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служащего, замещающего должность 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не предусмотренную </w:t>
      </w:r>
      <w:hyperlink r:id="rId6" w:anchor="/document/99/902157022/XA00LVS2MC/" w:history="1">
        <w:r w:rsidR="00800F07" w:rsidRPr="004B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 w:rsidR="00800F07" w:rsidRPr="00E37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 </w:t>
      </w:r>
      <w:r w:rsidR="00800F07"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Ульяновского городского поселения Тосненского района Ленинградской области от 21.03.2016 № 64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претендующего на замещение должности 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800F07" w:rsidRPr="00F843D6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Сведения о </w:t>
      </w:r>
      <w:r w:rsidR="0060403A"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доходах, расходах </w:t>
      </w:r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имуществе и обязательствах им</w:t>
      </w:r>
      <w:bookmarkStart w:id="0" w:name="_GoBack"/>
      <w:bookmarkEnd w:id="0"/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ущественного характера представляются по утвержденной Президентом </w:t>
      </w:r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форме </w:t>
      </w:r>
      <w:r w:rsidR="00B60E2C"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</w:t>
      </w:r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800F07" w:rsidRPr="00F843D6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гражданами – при поступлении на муниципальную службу;</w:t>
      </w:r>
    </w:p>
    <w:p w:rsidR="00800F07" w:rsidRPr="00F843D6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кандидатами на должности, предусмотренные перечнем, – при назначении на должности муниципальной службы, предусмотренные </w:t>
      </w:r>
      <w:hyperlink r:id="rId7" w:anchor="/document/99/902157022/XA00LVS2MC/" w:history="1">
        <w:r w:rsidRPr="00F84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 w:rsidRPr="00F8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решением Совета депутатов Ульяновского городского поселения Тосненского района Ленинградской области от 21.03.2016 № 64;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служащими, замещающими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предусмотренные перечнем должностей,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Ульяновского городского поселения Тосненского района Ленинградской области от 21.03.2016 № 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 не позднее 30 апреля года, следующего за отчетным;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Гражданин при назначении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представляет: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сведения о своих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также сведения об имуществе, принадлежащем ему на праве собственности, и о 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(на отчетную дату);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сведения о доходах 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 об имуществе, принадлежащем им на праве собственности, и об 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(на отчетную дату).</w:t>
      </w:r>
    </w:p>
    <w:p w:rsidR="00800F07" w:rsidRPr="00C5140B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на должность, предусмотренную перечнем, представляет сведения о доходах, об имуществе и обязательствах имущественного характера в соответствии с </w:t>
      </w:r>
      <w:hyperlink r:id="rId8" w:anchor="/document/99/902157023/XA00M3G2M3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представляет ежегодно:</w:t>
      </w:r>
    </w:p>
    <w:p w:rsidR="00800F07" w:rsidRPr="00E379B0" w:rsidRDefault="00B60E2C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своих </w:t>
      </w:r>
      <w:r w:rsidR="0060403A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доходах,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и(или) несовершеннолетними детьми в течение отчетного периода, если общая сумма таких сделок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1 января по 31 декабря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сведения о доходах супруги (супруга) и несовершеннолетних детей, полученных за отчетный период (с 1 января по 31 декабря) от всех источников (включая заработную плату, пенсии, пособия, иные выплаты), а также сведения об имуществе, принадлежащем им на праве собственности, и об их обязательствах имущественного характера по состоянию на конец отчетного периода.</w:t>
      </w:r>
    </w:p>
    <w:p w:rsidR="0060403A" w:rsidRPr="00E379B0" w:rsidRDefault="0060403A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04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Сведения о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имуществе и обязательствах имущественного характера представляются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области.</w:t>
      </w:r>
    </w:p>
    <w:p w:rsidR="00800F07" w:rsidRDefault="0038372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претендующий</w:t>
      </w:r>
      <w:r w:rsidR="00800F07"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замещение должности 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администрации, и лицо, замещающе</w:t>
      </w:r>
      <w:r w:rsidR="00800F07"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 должность</w:t>
      </w:r>
      <w:r w:rsidR="00800F07"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представляют Губернатору Ленинградской области 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</w:t>
      </w:r>
      <w:r w:rsidR="00800F07"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 областным законам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должности, а так же лицами, замещающими указанные должности».  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если гражданин или муниципальны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обнаружили, что в представленных ими сведениях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обязательствах имущественного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не отражены или не полностью отражены какие-либо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имеются ошибки,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праве представить уточненные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настоящим Положением.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может представить уточненные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месяца со дня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/document/99/902157023/XA00M762MV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на должность, предусмотренную перечнем, может представить уточненные сведения в течение одного месяца со дня представления сведений в соответствии </w:t>
      </w:r>
      <w:r w:rsidRPr="00C5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hyperlink r:id="rId10" w:anchor="/document/99/902157023/XA00M882N4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служащий может представить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в течение одного месяца после окончания срока, указанного в </w:t>
      </w:r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«</w:t>
      </w:r>
      <w:hyperlink r:id="rId11" w:anchor="/document/99/902157023/XA00M8A2N5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непредставления по объективным причинам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 w:rsidRPr="0080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Проверка достоверности и полноты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ательством. 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800F07" w:rsidRPr="00C5140B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(супруга) и несовершеннолетних детей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hyperlink r:id="rId12" w:anchor="/document/99/499030963/XA00M802MO/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Ульяновского городского поселения Тосненского района Ленинградской области</w:t>
      </w:r>
      <w:hyperlink r:id="rId13" w:anchor="/document/99/499030963/XA00M6G2N3/" w:history="1"/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размещению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hyperlink r:id="rId14" w:history="1"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6424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ежегодно в течении 14( четырнадцати) рабочих дней со дня истечения срока установленного для их подачи.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служащие, в должностные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которых входит работа со сведениями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0403A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ежегодно, и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проверки достоверности и полноты 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приобщаются к личному 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 В случае если гражданин или кандидат на должность, предусмотренную перечнем, представившие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характера, а также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В случае непредставления или представления заведомо ложных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 w:rsidR="0038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27A5" w:rsidRPr="00800F07" w:rsidRDefault="000027A5" w:rsidP="00800F07"/>
    <w:sectPr w:rsidR="000027A5" w:rsidRPr="00800F07" w:rsidSect="008C5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1"/>
    <w:rsid w:val="000027A5"/>
    <w:rsid w:val="000715B1"/>
    <w:rsid w:val="00133252"/>
    <w:rsid w:val="00174CCB"/>
    <w:rsid w:val="00271C58"/>
    <w:rsid w:val="00326DD4"/>
    <w:rsid w:val="00383727"/>
    <w:rsid w:val="003D3D48"/>
    <w:rsid w:val="0044144C"/>
    <w:rsid w:val="004A24BE"/>
    <w:rsid w:val="004B729F"/>
    <w:rsid w:val="004F1A5F"/>
    <w:rsid w:val="005B76AA"/>
    <w:rsid w:val="0060403A"/>
    <w:rsid w:val="00664240"/>
    <w:rsid w:val="007D0481"/>
    <w:rsid w:val="00800F07"/>
    <w:rsid w:val="00803047"/>
    <w:rsid w:val="0080340A"/>
    <w:rsid w:val="008A7207"/>
    <w:rsid w:val="008C572D"/>
    <w:rsid w:val="009217D3"/>
    <w:rsid w:val="009F7C28"/>
    <w:rsid w:val="00A81185"/>
    <w:rsid w:val="00AC5908"/>
    <w:rsid w:val="00AE28D7"/>
    <w:rsid w:val="00B60E2C"/>
    <w:rsid w:val="00BB06FA"/>
    <w:rsid w:val="00C45A59"/>
    <w:rsid w:val="00C5140B"/>
    <w:rsid w:val="00C551D6"/>
    <w:rsid w:val="00C65DD4"/>
    <w:rsid w:val="00D9696A"/>
    <w:rsid w:val="00E379B0"/>
    <w:rsid w:val="00E524D9"/>
    <w:rsid w:val="00E649B3"/>
    <w:rsid w:val="00F42B36"/>
    <w:rsid w:val="00F46658"/>
    <w:rsid w:val="00F843D6"/>
    <w:rsid w:val="00F97F8E"/>
    <w:rsid w:val="00FB1162"/>
    <w:rsid w:val="00FB2A7A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AFE-C988-4FD3-9412-5517F7B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217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1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14</cp:revision>
  <cp:lastPrinted>2021-11-29T12:18:00Z</cp:lastPrinted>
  <dcterms:created xsi:type="dcterms:W3CDTF">2020-02-10T13:00:00Z</dcterms:created>
  <dcterms:modified xsi:type="dcterms:W3CDTF">2021-11-30T06:29:00Z</dcterms:modified>
</cp:coreProperties>
</file>